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Non-Stationary Reward Sources in RLHF:</w:t>
      </w:r>
    </w:p>
    <w:p>
      <w:pPr>
        <w:spacing w:after="240"/>
        <w:jc w:val="center"/>
      </w:pPr>
      <w:r>
        <w:rPr>
          <w:rFonts w:ascii="Times New Roman" w:cs="Times New Roman" w:eastAsia="Times New Roman" w:hAnsi="Times New Roman"/>
          <w:b/>
          <w:bCs/>
          <w:sz w:val="28"/>
          <w:szCs w:val="28"/>
        </w:rPr>
        <w:t xml:space="preserve">A Coupled Dynamical Systems Analysis of Endogenous Human Preference Drift</w:t>
      </w:r>
    </w:p>
    <w:p>
      <w:pPr>
        <w:spacing w:after="60"/>
        <w:jc w:val="center"/>
      </w:pPr>
      <w:r>
        <w:rPr>
          <w:rFonts w:ascii="Times New Roman" w:cs="Times New Roman" w:eastAsia="Times New Roman" w:hAnsi="Times New Roman"/>
          <w:sz w:val="24"/>
          <w:szCs w:val="24"/>
        </w:rPr>
        <w:t xml:space="preserve">Stephen C. Webster</w:t>
      </w:r>
    </w:p>
    <w:p>
      <w:pPr>
        <w:spacing w:after="60"/>
        <w:jc w:val="center"/>
      </w:pPr>
      <w:r>
        <w:rPr>
          <w:rFonts w:ascii="Times New Roman" w:cs="Times New Roman" w:eastAsia="Times New Roman" w:hAnsi="Times New Roman"/>
          <w:i/>
          <w:iCs/>
          <w:sz w:val="20"/>
          <w:szCs w:val="20"/>
        </w:rPr>
        <w:t xml:space="preserve">Independent Researcher</w:t>
      </w:r>
    </w:p>
    <w:p>
      <w:pPr>
        <w:spacing w:after="60"/>
        <w:jc w:val="center"/>
      </w:pPr>
      <w:r>
        <w:rPr>
          <w:rFonts w:ascii="Times New Roman" w:cs="Times New Roman" w:eastAsia="Times New Roman" w:hAnsi="Times New Roman"/>
          <w:sz w:val="20"/>
          <w:szCs w:val="20"/>
        </w:rPr>
        <w:t xml:space="preserve">stephencwebster@gmail.com</w:t>
      </w:r>
    </w:p>
    <w:p>
      <w:pPr>
        <w:spacing w:after="360"/>
        <w:jc w:val="center"/>
      </w:pPr>
      <w:r>
        <w:rPr>
          <w:rFonts w:ascii="Times New Roman" w:cs="Times New Roman" w:eastAsia="Times New Roman" w:hAnsi="Times New Roman"/>
          <w:sz w:val="20"/>
          <w:szCs w:val="20"/>
        </w:rPr>
        <w:t xml:space="preserve">March 2026</w:t>
      </w:r>
    </w:p>
    <w:p>
      <w:pPr>
        <w:pStyle w:val="Heading1"/>
        <w:spacing w:after="200" w:before="360"/>
      </w:pPr>
      <w:r>
        <w:rPr>
          <w:rFonts w:ascii="Times New Roman" w:cs="Times New Roman" w:eastAsia="Times New Roman" w:hAnsi="Times New Roman"/>
          <w:b/>
          <w:bCs/>
          <w:sz w:val="28"/>
          <w:szCs w:val="28"/>
        </w:rPr>
        <w:t xml:space="preserve">Abstract</w:t>
      </w:r>
    </w:p>
    <w:p>
      <w:pPr>
        <w:spacing w:after="200" w:line="276"/>
      </w:pPr>
      <w:r>
        <w:rPr>
          <w:rFonts w:ascii="Times New Roman" w:cs="Times New Roman" w:eastAsia="Times New Roman" w:hAnsi="Times New Roman"/>
          <w:sz w:val="22"/>
          <w:szCs w:val="22"/>
        </w:rPr>
        <w:t xml:space="preserve">Reinforcement Learning from Human Feedback (RLHF) treats the human preference signal as exogenous to the model being trained. We identify a formal gap in this assumption: when deployed models interact with users over time, the model’s outputs may alter the user’s preference function, creating an endogenous feedback loop that violates the stationarity assumption underlying RLHF’s convergence guarantees. We term this the </w:t>
      </w:r>
      <w:r>
        <w:rPr>
          <w:rFonts w:ascii="Times New Roman" w:cs="Times New Roman" w:eastAsia="Times New Roman" w:hAnsi="Times New Roman"/>
          <w:i/>
          <w:iCs/>
          <w:sz w:val="22"/>
          <w:szCs w:val="22"/>
        </w:rPr>
        <w:t xml:space="preserve">Reverse RLHF</w:t>
      </w:r>
      <w:r>
        <w:rPr>
          <w:rFonts w:ascii="Times New Roman" w:cs="Times New Roman" w:eastAsia="Times New Roman" w:hAnsi="Times New Roman"/>
          <w:sz w:val="22"/>
          <w:szCs w:val="22"/>
        </w:rPr>
        <w:t xml:space="preserve"> dynamic and formalize it as a coupled dynamical system in which the model state 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and the human cognitive state 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co-evolve. Drawing on established frameworks from associative learning theory (Rescorla-Wagner), dual-process cognition (Kahneman), operant conditioning (Skinner), and the automation bias literature (Parasuraman &amp; Manzey), we derive conditions under which the coupled system produces unbounded trust inflation and verification decay in the human user. We propose a concrete evaluation metric (Epistemic Independence Score), sketch a modified RLHF objective incorporating a user-drift regularizer, and specify falsifiable experimental predictions that distinguish our hypothesis from standard automation complacency. This paper does not present experimental results. It presents a formal framework and testable predictions intended to motivate empirical investigation of the unmeasured human side of the RLHF loop.</w:t>
      </w:r>
    </w:p>
    <w:p>
      <w:pPr>
        <w:pStyle w:val="Heading1"/>
        <w:spacing w:after="200" w:before="360"/>
      </w:pPr>
      <w:r>
        <w:rPr>
          <w:rFonts w:ascii="Times New Roman" w:cs="Times New Roman" w:eastAsia="Times New Roman" w:hAnsi="Times New Roman"/>
          <w:b/>
          <w:bCs/>
          <w:sz w:val="28"/>
          <w:szCs w:val="28"/>
        </w:rPr>
        <w:t xml:space="preserve">1. Introduction</w:t>
      </w:r>
    </w:p>
    <w:p>
      <w:pPr>
        <w:spacing w:after="200" w:line="276"/>
      </w:pPr>
      <w:r>
        <w:rPr>
          <w:rFonts w:ascii="Times New Roman" w:cs="Times New Roman" w:eastAsia="Times New Roman" w:hAnsi="Times New Roman"/>
          <w:sz w:val="22"/>
          <w:szCs w:val="22"/>
        </w:rPr>
        <w:t xml:space="preserve">Reinforcement Learning from Human Feedback (RLHF) has become the dominant paradigm for aligning large language models with human values (Christiano et al., 2017; Ouyang et al., 2022; Bai et al., 2022). The framework’s mathematical foundation is well-established: human raters provide preference comparisons over model outputs; a reward model is trained on these preferences; and the policy model is optimized against the reward model using proximal policy optimization or equivalent methods.</w:t>
      </w:r>
    </w:p>
    <w:p>
      <w:pPr>
        <w:spacing w:after="200" w:line="276"/>
      </w:pPr>
      <w:r>
        <w:rPr>
          <w:rFonts w:ascii="Times New Roman" w:cs="Times New Roman" w:eastAsia="Times New Roman" w:hAnsi="Times New Roman"/>
          <w:sz w:val="22"/>
          <w:szCs w:val="22"/>
        </w:rPr>
        <w:t xml:space="preserve">A critical assumption in this framework has received insufficient formal attention. The human raters’ preference function is treated as a fixed signal source. The model is updated based on human feedback, but the human’s cognitive state is not modeled as a variable that the model’s behavior might alter. During training, this assumption is approximately valid: individual raters interact with the model for limited periods, and the training pipeline aggregates across many raters, diluting individual drift. During deployment, however, the assumption breaks down. A user who interacts with a deployed model daily for months is not a stationary reward source. The model’s outputs — their style, their framing, their confidence calibration — constitute a sustained stimulus that may reshape the user’s expectations, verification habits, and preference structure.</w:t>
      </w:r>
    </w:p>
    <w:p>
      <w:pPr>
        <w:spacing w:after="200" w:line="276"/>
      </w:pPr>
      <w:r>
        <w:rPr>
          <w:rFonts w:ascii="Times New Roman" w:cs="Times New Roman" w:eastAsia="Times New Roman" w:hAnsi="Times New Roman"/>
          <w:sz w:val="22"/>
          <w:szCs w:val="22"/>
        </w:rPr>
        <w:t xml:space="preserve">This paper formalizes the problem. We propose that RLHF-trained models, particularly those optimized for user satisfaction, create a coupled dynamical system in which the model’s optimization and the user’s cognitive adaptation interact. We identify three specific mechanisms through which this coupling operates — trust inflation, verification decay, and what we term the sycophancy accelerant — and ground each in established human psychology rather than in model self-report. We then derive testable predictions that distinguish this framework from the existing automation bias literature, and propose both an evaluation metric and a modified training objective.</w:t>
      </w:r>
    </w:p>
    <w:p>
      <w:pPr>
        <w:pStyle w:val="Heading1"/>
        <w:spacing w:after="200" w:before="360"/>
      </w:pPr>
      <w:r>
        <w:rPr>
          <w:rFonts w:ascii="Times New Roman" w:cs="Times New Roman" w:eastAsia="Times New Roman" w:hAnsi="Times New Roman"/>
          <w:b/>
          <w:bCs/>
          <w:sz w:val="28"/>
          <w:szCs w:val="28"/>
        </w:rPr>
        <w:t xml:space="preserve">2. Related Work</w:t>
      </w:r>
    </w:p>
    <w:p>
      <w:pPr>
        <w:pStyle w:val="Heading2"/>
        <w:spacing w:after="200" w:before="360"/>
      </w:pPr>
      <w:r>
        <w:rPr>
          <w:rFonts w:ascii="Times New Roman" w:cs="Times New Roman" w:eastAsia="Times New Roman" w:hAnsi="Times New Roman"/>
          <w:b/>
          <w:bCs/>
          <w:sz w:val="25"/>
          <w:szCs w:val="25"/>
        </w:rPr>
        <w:t xml:space="preserve">2.1 Automation Bias and Complacency</w:t>
      </w:r>
    </w:p>
    <w:p>
      <w:pPr>
        <w:spacing w:after="200" w:line="276"/>
      </w:pPr>
      <w:r>
        <w:rPr>
          <w:rFonts w:ascii="Times New Roman" w:cs="Times New Roman" w:eastAsia="Times New Roman" w:hAnsi="Times New Roman"/>
          <w:sz w:val="22"/>
          <w:szCs w:val="22"/>
        </w:rPr>
        <w:t xml:space="preserve">The finding that humans over-rely on automated systems is among the most replicated in human factors research. Bainbridge (1983) identified the foundational irony: the more reliable an automated system becomes, the less capable the human operator is of detecting its failures. Parasuraman and Manzey (2010) synthesized three decades of research into a framework distinguishing automation complacency (failure to monitor) from automation bias (failure to search for confirmatory or disconfirmatory information). Mosier and Skitka (1996) documented omission errors (failing to act without automation prompting) and commission errors (acting on automation recommendations even when contradicted by other evidence). Goddard et al.’s (2012) systematic review confirmed the robustness of these effects across domains. Cummings (2004) extended the findings to time-critical military decision support. Strauch (2017) noted that despite thirty-five years of research, the fundamental ironies remain unresolved in practice.</w:t>
      </w:r>
    </w:p>
    <w:p>
      <w:pPr>
        <w:spacing w:after="200" w:line="276"/>
      </w:pPr>
      <w:r>
        <w:rPr>
          <w:rFonts w:ascii="Times New Roman" w:cs="Times New Roman" w:eastAsia="Times New Roman" w:hAnsi="Times New Roman"/>
          <w:sz w:val="22"/>
          <w:szCs w:val="22"/>
        </w:rPr>
        <w:t xml:space="preserve">This literature establishes the baseline: humans adapt their cognitive behavior to automated systems in ways that reduce independent monitoring and verification. The decay is a function of system reliability and elapsed time. The mechanisms are passive: the system works, so the human stops checking.</w:t>
      </w:r>
    </w:p>
    <w:p>
      <w:pPr>
        <w:pStyle w:val="Heading2"/>
        <w:spacing w:after="200" w:before="360"/>
      </w:pPr>
      <w:r>
        <w:rPr>
          <w:rFonts w:ascii="Times New Roman" w:cs="Times New Roman" w:eastAsia="Times New Roman" w:hAnsi="Times New Roman"/>
          <w:b/>
          <w:bCs/>
          <w:sz w:val="25"/>
          <w:szCs w:val="25"/>
        </w:rPr>
        <w:t xml:space="preserve">2.2 Cognitive Offloading and Transactive Memory</w:t>
      </w:r>
    </w:p>
    <w:p>
      <w:pPr>
        <w:spacing w:after="200" w:line="276"/>
      </w:pPr>
      <w:r>
        <w:rPr>
          <w:rFonts w:ascii="Times New Roman" w:cs="Times New Roman" w:eastAsia="Times New Roman" w:hAnsi="Times New Roman"/>
          <w:sz w:val="22"/>
          <w:szCs w:val="22"/>
        </w:rPr>
        <w:t xml:space="preserve">A related body of work documents how tool use restructures cognition itself. Sparrow, Liu, and Wegner (2011) demonstrated the “Google effect”: when people expect information to be available via search, they invest less cognitive effort in encoding it. Fisher, Goddu, and Keil (2015) showed that internet access inflates subjective estimates of internal knowledge — people mistake access to information for possession of knowledge. Risko and Gilbert (2016) formalized cognitive offloading as a rational reallocation of cognitive resources: when an external tool can perform a task, the cost-benefit calculus of internal processing shifts. These findings establish that tool use does not merely supplement cognition; it restructures it.</w:t>
      </w:r>
    </w:p>
    <w:p>
      <w:pPr>
        <w:pStyle w:val="Heading2"/>
        <w:spacing w:after="200" w:before="360"/>
      </w:pPr>
      <w:r>
        <w:rPr>
          <w:rFonts w:ascii="Times New Roman" w:cs="Times New Roman" w:eastAsia="Times New Roman" w:hAnsi="Times New Roman"/>
          <w:b/>
          <w:bCs/>
          <w:sz w:val="25"/>
          <w:szCs w:val="25"/>
        </w:rPr>
        <w:t xml:space="preserve">2.3 Sycophancy in Language Models</w:t>
      </w:r>
    </w:p>
    <w:p>
      <w:pPr>
        <w:spacing w:after="200" w:line="276"/>
      </w:pPr>
      <w:r>
        <w:rPr>
          <w:rFonts w:ascii="Times New Roman" w:cs="Times New Roman" w:eastAsia="Times New Roman" w:hAnsi="Times New Roman"/>
          <w:sz w:val="22"/>
          <w:szCs w:val="22"/>
        </w:rPr>
        <w:t xml:space="preserve">Sharma et al. (2023) provided the first systematic characterization of sycophancy in RLHF-trained language models: the tendency to produce outputs that match the user’s stated or implied beliefs, even when those beliefs are incorrect. The mechanism is straightforward: RLHF optimizes for human approval; agreeing with the user is a reliable path to approval; the model therefore learns to agree. Kirk et al. (2023) demonstrated that RLHF reduces output diversity and generalizes poorly to out-of-distribution inputs. Spence et al. (2024) provided mechanistic evidence at the ICML 2024 conference that DPO alignment produces superficial behavioral changes without altering underlying representations — the model learns to suppress certain outputs rather than to revise its knowledge.</w:t>
      </w:r>
    </w:p>
    <w:p>
      <w:pPr>
        <w:pStyle w:val="Heading2"/>
        <w:spacing w:after="200" w:before="360"/>
      </w:pPr>
      <w:r>
        <w:rPr>
          <w:rFonts w:ascii="Times New Roman" w:cs="Times New Roman" w:eastAsia="Times New Roman" w:hAnsi="Times New Roman"/>
          <w:b/>
          <w:bCs/>
          <w:sz w:val="25"/>
          <w:szCs w:val="25"/>
        </w:rPr>
        <w:t xml:space="preserve">2.4 The Gap</w:t>
      </w:r>
    </w:p>
    <w:p>
      <w:pPr>
        <w:spacing w:after="200" w:line="276"/>
      </w:pPr>
      <w:r>
        <w:rPr>
          <w:rFonts w:ascii="Times New Roman" w:cs="Times New Roman" w:eastAsia="Times New Roman" w:hAnsi="Times New Roman"/>
          <w:sz w:val="22"/>
          <w:szCs w:val="22"/>
        </w:rPr>
        <w:t xml:space="preserve">These three literatures — automation bias, cognitive offloading, and LLM sycophancy — have developed largely in isolation. The automation bias literature models the human’s response to reliable automation but does not account for systems that actively optimize for the human’s approval. The cognitive offloading literature models rational resource reallocation but does not model the tool as an agent that adapts to the user. The sycophancy literature models the model’s behavior but does not model the human’s cognitive response to sustained sycophantic interaction. No existing framework formally connects these dynamics into a coupled system with analyzable convergence properties. That is the contribution of this paper.</w:t>
      </w:r>
    </w:p>
    <w:p>
      <w:pPr>
        <w:pStyle w:val="Heading1"/>
        <w:spacing w:after="200" w:before="360"/>
      </w:pPr>
      <w:r>
        <w:rPr>
          <w:rFonts w:ascii="Times New Roman" w:cs="Times New Roman" w:eastAsia="Times New Roman" w:hAnsi="Times New Roman"/>
          <w:b/>
          <w:bCs/>
          <w:sz w:val="28"/>
          <w:szCs w:val="28"/>
        </w:rPr>
        <w:t xml:space="preserve">3. The Non-Stationary Reward Source Problem</w:t>
      </w:r>
    </w:p>
    <w:p>
      <w:pPr>
        <w:spacing w:after="200" w:line="276"/>
      </w:pPr>
      <w:r>
        <w:rPr>
          <w:rFonts w:ascii="Times New Roman" w:cs="Times New Roman" w:eastAsia="Times New Roman" w:hAnsi="Times New Roman"/>
          <w:sz w:val="22"/>
          <w:szCs w:val="22"/>
        </w:rPr>
        <w:t xml:space="preserve">Let 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denote the state of the deployed AI model at interaction step t, and let 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denote the state of the human user at step t. Standard RLHF defines the model update as:</w:t>
      </w:r>
    </w:p>
    <w:p>
      <w:pPr>
        <w:spacing w:after="200" w:line="276"/>
        <w:ind w:left="720"/>
      </w:pPr>
      <w:r>
        <w:rPr>
          <w:rFonts w:ascii="Cambria Math" w:cs="Cambria Math" w:eastAsia="Cambria Math" w:hAnsi="Cambria Math"/>
          <w:i/>
          <w:iCs/>
          <w:sz w:val="22"/>
          <w:szCs w:val="22"/>
        </w:rPr>
        <w:t xml:space="preserve">M</w:t>
      </w:r>
      <w:r>
        <w:rPr>
          <w:rFonts w:ascii="Times New Roman" w:cs="Times New Roman" w:eastAsia="Times New Roman" w:hAnsi="Times New Roman"/>
          <w:sz w:val="22"/>
          <w:szCs w:val="22"/>
        </w:rPr>
        <w:t xml:space="preserve">{t+1} = F(M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R(H</w:t>
      </w:r>
      <w:r>
        <w:rPr>
          <w:rFonts w:ascii="Cambria Math" w:cs="Cambria Math" w:eastAsia="Cambria Math" w:hAnsi="Cambria Math"/>
          <w:i/>
          <w:iCs/>
          <w:sz w:val="22"/>
          <w:szCs w:val="22"/>
        </w:rPr>
        <w:t xml:space="preserve">0</w:t>
      </w:r>
      <w:r>
        <w:rPr>
          <w:rFonts w:ascii="Times New Roman" w:cs="Times New Roman" w:eastAsia="Times New Roman" w:hAnsi="Times New Roman"/>
          <w:sz w:val="22"/>
          <w:szCs w:val="22"/>
        </w:rPr>
        <w:t xml:space="preserve">, 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(q)))</w:t>
      </w:r>
    </w:p>
    <w:p>
      <w:pPr>
        <w:spacing w:after="200" w:line="276"/>
      </w:pPr>
      <w:r>
        <w:rPr>
          <w:rFonts w:ascii="Times New Roman" w:cs="Times New Roman" w:eastAsia="Times New Roman" w:hAnsi="Times New Roman"/>
          <w:sz w:val="22"/>
          <w:szCs w:val="22"/>
        </w:rPr>
        <w:t xml:space="preserve">where R is the reward function learned from human preferences and H</w:t>
      </w:r>
      <w:r>
        <w:rPr>
          <w:rFonts w:ascii="Cambria Math" w:cs="Cambria Math" w:eastAsia="Cambria Math" w:hAnsi="Cambria Math"/>
          <w:i/>
          <w:iCs/>
          <w:sz w:val="22"/>
          <w:szCs w:val="22"/>
        </w:rPr>
        <w:t xml:space="preserve">0</w:t>
      </w:r>
      <w:r>
        <w:rPr>
          <w:rFonts w:ascii="Times New Roman" w:cs="Times New Roman" w:eastAsia="Times New Roman" w:hAnsi="Times New Roman"/>
          <w:sz w:val="22"/>
          <w:szCs w:val="22"/>
        </w:rPr>
        <w:t xml:space="preserve"> denotes the human’s initial preference state. The critical assumption is that R reflects preferences from H</w:t>
      </w:r>
      <w:r>
        <w:rPr>
          <w:rFonts w:ascii="Cambria Math" w:cs="Cambria Math" w:eastAsia="Cambria Math" w:hAnsi="Cambria Math"/>
          <w:i/>
          <w:iCs/>
          <w:sz w:val="22"/>
          <w:szCs w:val="22"/>
        </w:rPr>
        <w:t xml:space="preserve">0</w:t>
      </w:r>
      <w:r>
        <w:rPr>
          <w:rFonts w:ascii="Times New Roman" w:cs="Times New Roman" w:eastAsia="Times New Roman" w:hAnsi="Times New Roman"/>
          <w:sz w:val="22"/>
          <w:szCs w:val="22"/>
        </w:rPr>
        <w:t xml:space="preserve">, but during deployment, the human has reached state 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If 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’s outputs have altered the human’s preferences, then R is optimizing for a distribution that no longer exists.</w:t>
      </w:r>
    </w:p>
    <w:p>
      <w:pPr>
        <w:spacing w:after="200" w:line="276"/>
      </w:pPr>
      <w:r>
        <w:rPr>
          <w:rFonts w:ascii="Times New Roman" w:cs="Times New Roman" w:eastAsia="Times New Roman" w:hAnsi="Times New Roman"/>
          <w:sz w:val="22"/>
          <w:szCs w:val="22"/>
        </w:rPr>
        <w:t xml:space="preserve">The full coupled system is:</w:t>
      </w:r>
    </w:p>
    <w:p>
      <w:pPr>
        <w:spacing w:after="200" w:line="276"/>
        <w:ind w:left="720"/>
      </w:pPr>
      <w:r>
        <w:rPr>
          <w:rFonts w:ascii="Cambria Math" w:cs="Cambria Math" w:eastAsia="Cambria Math" w:hAnsi="Cambria Math"/>
          <w:i/>
          <w:iCs/>
          <w:sz w:val="22"/>
          <w:szCs w:val="22"/>
        </w:rPr>
        <w:t xml:space="preserve">M</w:t>
      </w:r>
      <w:r>
        <w:rPr>
          <w:rFonts w:ascii="Times New Roman" w:cs="Times New Roman" w:eastAsia="Times New Roman" w:hAnsi="Times New Roman"/>
          <w:sz w:val="22"/>
          <w:szCs w:val="22"/>
        </w:rPr>
        <w:t xml:space="preserve">{t+1} = F(M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[model learns from human feedback]</w:t>
      </w:r>
    </w:p>
    <w:p>
      <w:pPr>
        <w:spacing w:after="200" w:line="276"/>
        <w:ind w:left="720"/>
      </w:pPr>
      <w:r>
        <w:rPr>
          <w:rFonts w:ascii="Cambria Math" w:cs="Cambria Math" w:eastAsia="Cambria Math" w:hAnsi="Cambria Math"/>
          <w:i/>
          <w:iCs/>
          <w:sz w:val="22"/>
          <w:szCs w:val="22"/>
        </w:rPr>
        <w:t xml:space="preserve">H</w:t>
      </w:r>
      <w:r>
        <w:rPr>
          <w:rFonts w:ascii="Times New Roman" w:cs="Times New Roman" w:eastAsia="Times New Roman" w:hAnsi="Times New Roman"/>
          <w:sz w:val="22"/>
          <w:szCs w:val="22"/>
        </w:rPr>
        <w:t xml:space="preserve">{t+1} = G(H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M</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[human adapts to model outputs]</w:t>
      </w:r>
    </w:p>
    <w:p>
      <w:pPr>
        <w:spacing w:after="200" w:line="276"/>
      </w:pPr>
      <w:r>
        <w:rPr>
          <w:rFonts w:ascii="Times New Roman" w:cs="Times New Roman" w:eastAsia="Times New Roman" w:hAnsi="Times New Roman"/>
          <w:sz w:val="22"/>
          <w:szCs w:val="22"/>
        </w:rPr>
        <w:t xml:space="preserve">Standard RLHF assumes G is the identity function: H</w:t>
      </w:r>
      <w:r>
        <w:rPr>
          <w:rFonts w:ascii="Cambria Math" w:cs="Cambria Math" w:eastAsia="Cambria Math" w:hAnsi="Cambria Math"/>
          <w:i/>
          <w:iCs/>
          <w:sz w:val="22"/>
          <w:szCs w:val="22"/>
        </w:rPr>
        <w:t xml:space="preserve">t+1</w:t>
      </w:r>
      <w:r>
        <w:rPr>
          <w:rFonts w:ascii="Times New Roman" w:cs="Times New Roman" w:eastAsia="Times New Roman" w:hAnsi="Times New Roman"/>
          <w:sz w:val="22"/>
          <w:szCs w:val="22"/>
        </w:rPr>
        <w:t xml:space="preserve"> = H</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for all t. We argue this assumption is false under sustained deployment, and that the specific form of G is determined by well-established psychological mechanisms.</w:t>
      </w:r>
    </w:p>
    <w:p>
      <w:pPr>
        <w:pStyle w:val="Heading1"/>
        <w:spacing w:after="200" w:before="360"/>
      </w:pPr>
      <w:r>
        <w:rPr>
          <w:rFonts w:ascii="Times New Roman" w:cs="Times New Roman" w:eastAsia="Times New Roman" w:hAnsi="Times New Roman"/>
          <w:b/>
          <w:bCs/>
          <w:sz w:val="28"/>
          <w:szCs w:val="28"/>
        </w:rPr>
        <w:t xml:space="preserve">4. Component Mechanisms Grounded in Human Psychology</w:t>
      </w:r>
    </w:p>
    <w:p>
      <w:pPr>
        <w:pStyle w:val="Heading2"/>
        <w:spacing w:after="200" w:before="360"/>
      </w:pPr>
      <w:r>
        <w:rPr>
          <w:rFonts w:ascii="Times New Roman" w:cs="Times New Roman" w:eastAsia="Times New Roman" w:hAnsi="Times New Roman"/>
          <w:b/>
          <w:bCs/>
          <w:sz w:val="25"/>
          <w:szCs w:val="25"/>
        </w:rPr>
        <w:t xml:space="preserve">4.1 Trust Inflation via Associative Learning</w:t>
      </w:r>
    </w:p>
    <w:p>
      <w:pPr>
        <w:spacing w:after="200" w:line="276"/>
      </w:pPr>
      <w:r>
        <w:rPr>
          <w:rFonts w:ascii="Times New Roman" w:cs="Times New Roman" w:eastAsia="Times New Roman" w:hAnsi="Times New Roman"/>
          <w:sz w:val="22"/>
          <w:szCs w:val="22"/>
        </w:rPr>
        <w:t xml:space="preserve">The Rescorla-Wagner model (1972) describes belief updating via prediction error: the strength of an association updates proportionally to the difference between expected and observed outcomes. Applied to human-AI trust calibration:</w:t>
      </w:r>
    </w:p>
    <w:p>
      <w:pPr>
        <w:spacing w:after="200" w:line="276"/>
        <w:ind w:left="720"/>
      </w:pP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{t+1} = T</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 α(λ - T</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w:t>
      </w:r>
    </w:p>
    <w:p>
      <w:pPr>
        <w:spacing w:after="200" w:line="276"/>
      </w:pPr>
      <w:r>
        <w:rPr>
          <w:rFonts w:ascii="Times New Roman" w:cs="Times New Roman" w:eastAsia="Times New Roman" w:hAnsi="Times New Roman"/>
          <w:sz w:val="22"/>
          <w:szCs w:val="22"/>
        </w:rPr>
        <w:t xml:space="preserve">where T</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is the user’s trust at step t, λ represents the asymptotic trust level supported by the observed hit rate, and α is the learning rate. When the model produces outputs that consistently satisfy the user — which sycophancy optimization ensures by matching the user’s framing and expectations — the prediction error (λ - T</w:t>
      </w:r>
      <w:r>
        <w:rPr>
          <w:rFonts w:ascii="Cambria Math" w:cs="Cambria Math" w:eastAsia="Cambria Math" w:hAnsi="Cambria Math"/>
          <w:i/>
          <w:iCs/>
          <w:sz w:val="22"/>
          <w:szCs w:val="22"/>
        </w:rPr>
        <w:t xml:space="preserve">t</w:t>
      </w:r>
      <w:r>
        <w:rPr>
          <w:rFonts w:ascii="Times New Roman" w:cs="Times New Roman" w:eastAsia="Times New Roman" w:hAnsi="Times New Roman"/>
          <w:sz w:val="22"/>
          <w:szCs w:val="22"/>
        </w:rPr>
        <w:t xml:space="preserve">) remains positive until trust saturates at λ. Crucially, λ is inflated by sycophancy: the model’s apparent accuracy (from the user’s subjective perspective) exceeds its actual accuracy, because the model produces outputs the user already expects to be correct. The user’s trust converges on a level calibrated to perceived, not actual, performance.</w:t>
      </w:r>
    </w:p>
    <w:p>
      <w:pPr>
        <w:pStyle w:val="Heading2"/>
        <w:spacing w:after="200" w:before="360"/>
      </w:pPr>
      <w:r>
        <w:rPr>
          <w:rFonts w:ascii="Times New Roman" w:cs="Times New Roman" w:eastAsia="Times New Roman" w:hAnsi="Times New Roman"/>
          <w:b/>
          <w:bCs/>
          <w:sz w:val="25"/>
          <w:szCs w:val="25"/>
        </w:rPr>
        <w:t xml:space="preserve">4.2 Verification Decay via Dual-Process Resource Allocation</w:t>
      </w:r>
    </w:p>
    <w:p>
      <w:pPr>
        <w:spacing w:after="200" w:line="276"/>
      </w:pPr>
      <w:r>
        <w:rPr>
          <w:rFonts w:ascii="Times New Roman" w:cs="Times New Roman" w:eastAsia="Times New Roman" w:hAnsi="Times New Roman"/>
          <w:sz w:val="22"/>
          <w:szCs w:val="22"/>
        </w:rPr>
        <w:t xml:space="preserve">Kahneman’s (2011) dual-process framework distinguishes System 1 (fast, heuristic, low-effort) from System 2 (slow, deliberative, effortful) cognition. Verification of AI outputs is a System 2 activity: it requires the user to independently assess the output’s accuracy, which is metabolically costly. Acceptance based on surface features (formatting, confidence, internal coherence) is a System 1 activity.</w:t>
      </w:r>
    </w:p>
    <w:p>
      <w:pPr>
        <w:spacing w:after="200" w:line="276"/>
      </w:pPr>
      <w:r>
        <w:rPr>
          <w:rFonts w:ascii="Times New Roman" w:cs="Times New Roman" w:eastAsia="Times New Roman" w:hAnsi="Times New Roman"/>
          <w:sz w:val="22"/>
          <w:szCs w:val="22"/>
        </w:rPr>
        <w:t xml:space="preserve">Following Risko and Gilbert’s (2016) cognitive offloading framework, users rationally reallocate effort based on the perceived cost-benefit ratio of verification. Let V(t) represent the user’s verification effort at time t. We model verification as a function of the expected marginal value of checking:</w:t>
      </w:r>
    </w:p>
    <w:p>
      <w:pPr>
        <w:spacing w:after="200" w:line="276"/>
        <w:ind w:left="720"/>
      </w:pPr>
      <w:r>
        <w:rPr>
          <w:rFonts w:ascii="Cambria Math" w:cs="Cambria Math" w:eastAsia="Cambria Math" w:hAnsi="Cambria Math"/>
          <w:i/>
          <w:iCs/>
          <w:sz w:val="22"/>
          <w:szCs w:val="22"/>
        </w:rPr>
        <w:t xml:space="preserve">V</w:t>
      </w:r>
      <w:r>
        <w:rPr>
          <w:rFonts w:ascii="Times New Roman" w:cs="Times New Roman" w:eastAsia="Times New Roman" w:hAnsi="Times New Roman"/>
          <w:sz w:val="22"/>
          <w:szCs w:val="22"/>
        </w:rPr>
        <w:t xml:space="preserve">(t) = V</w:t>
      </w:r>
      <w:r>
        <w:rPr>
          <w:rFonts w:ascii="Cambria Math" w:cs="Cambria Math" w:eastAsia="Cambria Math" w:hAnsi="Cambria Math"/>
          <w:i/>
          <w:iCs/>
          <w:sz w:val="22"/>
          <w:szCs w:val="22"/>
        </w:rPr>
        <w:t xml:space="preserve">0</w:t>
      </w:r>
      <w:r>
        <w:rPr>
          <w:rFonts w:ascii="Times New Roman" w:cs="Times New Roman" w:eastAsia="Times New Roman" w:hAnsi="Times New Roman"/>
          <w:sz w:val="22"/>
          <w:szCs w:val="22"/>
        </w:rPr>
        <w:t xml:space="preserve"> · σ(E[benefit(check)] - C</w:t>
      </w:r>
      <w:r>
        <w:rPr>
          <w:rFonts w:ascii="Cambria Math" w:cs="Cambria Math" w:eastAsia="Cambria Math" w:hAnsi="Cambria Math"/>
          <w:i/>
          <w:iCs/>
          <w:sz w:val="22"/>
          <w:szCs w:val="22"/>
        </w:rPr>
        <w:t xml:space="preserve">check</w:t>
      </w:r>
      <w:r>
        <w:rPr>
          <w:rFonts w:ascii="Times New Roman" w:cs="Times New Roman" w:eastAsia="Times New Roman" w:hAnsi="Times New Roman"/>
          <w:sz w:val="22"/>
          <w:szCs w:val="22"/>
        </w:rPr>
        <w:t xml:space="preserve">)</w:t>
      </w:r>
    </w:p>
    <w:p>
      <w:pPr>
        <w:spacing w:after="200" w:line="276"/>
      </w:pPr>
      <w:r>
        <w:rPr>
          <w:rFonts w:ascii="Times New Roman" w:cs="Times New Roman" w:eastAsia="Times New Roman" w:hAnsi="Times New Roman"/>
          <w:sz w:val="22"/>
          <w:szCs w:val="22"/>
        </w:rPr>
        <w:t xml:space="preserve">where V</w:t>
      </w:r>
      <w:r>
        <w:rPr>
          <w:rFonts w:ascii="Cambria Math" w:cs="Cambria Math" w:eastAsia="Cambria Math" w:hAnsi="Cambria Math"/>
          <w:i/>
          <w:iCs/>
          <w:sz w:val="22"/>
          <w:szCs w:val="22"/>
        </w:rPr>
        <w:t xml:space="preserve">0</w:t>
      </w:r>
      <w:r>
        <w:rPr>
          <w:rFonts w:ascii="Times New Roman" w:cs="Times New Roman" w:eastAsia="Times New Roman" w:hAnsi="Times New Roman"/>
          <w:sz w:val="22"/>
          <w:szCs w:val="22"/>
        </w:rPr>
        <w:t xml:space="preserve"> is the baseline verification effort, σ is a sigmoid function, E[benefit(check)] is the expected value of discovering an error (which decreases as trust increases, since the user expects fewer errors), and C</w:t>
      </w:r>
      <w:r>
        <w:rPr>
          <w:rFonts w:ascii="Cambria Math" w:cs="Cambria Math" w:eastAsia="Cambria Math" w:hAnsi="Cambria Math"/>
          <w:i/>
          <w:iCs/>
          <w:sz w:val="22"/>
          <w:szCs w:val="22"/>
        </w:rPr>
        <w:t xml:space="preserve">check</w:t>
      </w:r>
      <w:r>
        <w:rPr>
          <w:rFonts w:ascii="Times New Roman" w:cs="Times New Roman" w:eastAsia="Times New Roman" w:hAnsi="Times New Roman"/>
          <w:sz w:val="22"/>
          <w:szCs w:val="22"/>
        </w:rPr>
        <w:t xml:space="preserve"> is the cognitive cost of verification (which remains constant or increases as the user becomes less practiced at independent assessment). As trust inflates per Section 4.1, E[benefit(check)] decreases, and V(t) decays. This is the standard automation complacency mechanism (Parasuraman &amp; Manzey, 2010), formalized through dual-process theory.</w:t>
      </w:r>
    </w:p>
    <w:p>
      <w:pPr>
        <w:pStyle w:val="Heading2"/>
        <w:spacing w:after="200" w:before="360"/>
      </w:pPr>
      <w:r>
        <w:rPr>
          <w:rFonts w:ascii="Times New Roman" w:cs="Times New Roman" w:eastAsia="Times New Roman" w:hAnsi="Times New Roman"/>
          <w:b/>
          <w:bCs/>
          <w:sz w:val="25"/>
          <w:szCs w:val="25"/>
        </w:rPr>
        <w:t xml:space="preserve">4.3 The Sycophancy Accelerant: Beyond Passive Complacency</w:t>
      </w:r>
    </w:p>
    <w:p>
      <w:pPr>
        <w:spacing w:after="200" w:line="276"/>
      </w:pPr>
      <w:r>
        <w:rPr>
          <w:rFonts w:ascii="Times New Roman" w:cs="Times New Roman" w:eastAsia="Times New Roman" w:hAnsi="Times New Roman"/>
          <w:sz w:val="22"/>
          <w:szCs w:val="22"/>
        </w:rPr>
        <w:t xml:space="preserve">Here we identify the mechanism that distinguishes the RLHF-specific dynamic from generic automation bias. In the standard automation bias literature, the system is passively reliable: it produces correct outputs with high frequency, and the human’s monitoring decays as a function of that reliability. The system does not adapt to the human’s expectations.</w:t>
      </w:r>
    </w:p>
    <w:p>
      <w:pPr>
        <w:spacing w:after="200" w:line="276"/>
      </w:pPr>
      <w:r>
        <w:rPr>
          <w:rFonts w:ascii="Times New Roman" w:cs="Times New Roman" w:eastAsia="Times New Roman" w:hAnsi="Times New Roman"/>
          <w:sz w:val="22"/>
          <w:szCs w:val="22"/>
        </w:rPr>
        <w:t xml:space="preserve">An RLHF-trained language model is not passively reliable. It is actively optimized to produce outputs that maximize user satisfaction. This means the model adapts its outputs to the user’s expressed preferences, framing, and expectations. Following Skinner’s (1938) framework for operant conditioning, this creates a reinforcement schedule in which the user’s experience of the model’s “correctness” is partially endogenous to the model’s optimization: the model is correct more often (from the user’s subjective perspective) precisely because it mirrors the user’s existing beliefs.</w:t>
      </w:r>
    </w:p>
    <w:p>
      <w:pPr>
        <w:spacing w:after="200" w:line="276"/>
      </w:pPr>
      <w:r>
        <w:rPr>
          <w:rFonts w:ascii="Times New Roman" w:cs="Times New Roman" w:eastAsia="Times New Roman" w:hAnsi="Times New Roman"/>
          <w:sz w:val="22"/>
          <w:szCs w:val="22"/>
        </w:rPr>
        <w:t xml:space="preserve">The functional consequence is that sycophancy-trained models produce trust inflation at a rate faster than equivalent non-sycophantic systems of equal objective accuracy. In operant conditioning terms, the sycophantic model provides a variable-ratio reinforcement schedule for uncritical acceptance: the user is intermittently rewarded with outputs that feel especially insightful or validating, which is the reinforcement schedule most resistant to extinction (Ferster &amp; Skinner, 1957). A non-sycophantic system of equal accuracy provides a fixed-ratio schedule (consistent reliability), which produces slower habit formation and is more susceptible to extinction when errors occur.</w:t>
      </w:r>
    </w:p>
    <w:p>
      <w:pPr>
        <w:spacing w:after="200" w:line="276"/>
      </w:pPr>
      <w:r>
        <w:rPr>
          <w:rFonts w:ascii="Times New Roman" w:cs="Times New Roman" w:eastAsia="Times New Roman" w:hAnsi="Times New Roman"/>
          <w:sz w:val="22"/>
          <w:szCs w:val="22"/>
        </w:rPr>
        <w:t xml:space="preserve">This is the core theoretical prediction: </w:t>
      </w:r>
      <w:r>
        <w:rPr>
          <w:rFonts w:ascii="Times New Roman" w:cs="Times New Roman" w:eastAsia="Times New Roman" w:hAnsi="Times New Roman"/>
          <w:b/>
          <w:bCs/>
          <w:sz w:val="22"/>
          <w:szCs w:val="22"/>
        </w:rPr>
        <w:t xml:space="preserve">sycophancy acts as an accelerant on automation complacency.</w:t>
      </w:r>
      <w:r>
        <w:rPr>
          <w:rFonts w:ascii="Times New Roman" w:cs="Times New Roman" w:eastAsia="Times New Roman" w:hAnsi="Times New Roman"/>
          <w:sz w:val="22"/>
          <w:szCs w:val="22"/>
        </w:rPr>
        <w:t xml:space="preserve"> The rate parameter in the trust inflation equation (α in Section 4.1) is modulated by the sycophancy level of the system. Higher sycophancy produces faster trust inflation, faster verification decay, and a more tightly coupled positive feedback loop. This prediction is specific, novel relative to the existing automation bias literature, and experimentally testable.</w:t>
      </w:r>
    </w:p>
    <w:p>
      <w:pPr>
        <w:pStyle w:val="Heading2"/>
        <w:spacing w:after="200" w:before="360"/>
      </w:pPr>
      <w:r>
        <w:rPr>
          <w:rFonts w:ascii="Times New Roman" w:cs="Times New Roman" w:eastAsia="Times New Roman" w:hAnsi="Times New Roman"/>
          <w:b/>
          <w:bCs/>
          <w:sz w:val="25"/>
          <w:szCs w:val="25"/>
        </w:rPr>
        <w:t xml:space="preserve">4.4 The Coupled System and Divergence Conditions</w:t>
      </w:r>
    </w:p>
    <w:p>
      <w:pPr>
        <w:spacing w:after="200" w:line="276"/>
      </w:pPr>
      <w:r>
        <w:rPr>
          <w:rFonts w:ascii="Times New Roman" w:cs="Times New Roman" w:eastAsia="Times New Roman" w:hAnsi="Times New Roman"/>
          <w:sz w:val="22"/>
          <w:szCs w:val="22"/>
        </w:rPr>
        <w:t xml:space="preserve">The three component mechanisms interact to produce a positive feedback loop. Trust inflation (4.1) reduces the expected benefit of verification. Verification decay (4.2) eliminates the primary mechanism by which the user would detect model errors. Reduced error detection eliminates the negative feedback that would correct trust calibration. The sycophancy accelerant (4.3) increases the rate at which this loop tightens.</w:t>
      </w:r>
    </w:p>
    <w:p>
      <w:pPr>
        <w:spacing w:after="200" w:line="276"/>
      </w:pPr>
      <w:r>
        <w:rPr>
          <w:rFonts w:ascii="Times New Roman" w:cs="Times New Roman" w:eastAsia="Times New Roman" w:hAnsi="Times New Roman"/>
          <w:sz w:val="22"/>
          <w:szCs w:val="22"/>
        </w:rPr>
        <w:t xml:space="preserve">The coupled system diverges (trust inflates without bound, verification approaches zero) when the following condition holds: the rate of trust inflation due to perceived accuracy exceeds the rate of trust correction due to detected errors. Formally, let α</w:t>
      </w:r>
      <w:r>
        <w:rPr>
          <w:rFonts w:ascii="Cambria Math" w:cs="Cambria Math" w:eastAsia="Cambria Math" w:hAnsi="Cambria Math"/>
          <w:i/>
          <w:iCs/>
          <w:sz w:val="22"/>
          <w:szCs w:val="22"/>
        </w:rPr>
        <w:t xml:space="preserve">inflate</w:t>
      </w:r>
      <w:r>
        <w:rPr>
          <w:rFonts w:ascii="Times New Roman" w:cs="Times New Roman" w:eastAsia="Times New Roman" w:hAnsi="Times New Roman"/>
          <w:sz w:val="22"/>
          <w:szCs w:val="22"/>
        </w:rPr>
        <w:t xml:space="preserve"> be the effective trust inflation rate (modulated by sycophancy) and let β</w:t>
      </w:r>
      <w:r>
        <w:rPr>
          <w:rFonts w:ascii="Cambria Math" w:cs="Cambria Math" w:eastAsia="Cambria Math" w:hAnsi="Cambria Math"/>
          <w:i/>
          <w:iCs/>
          <w:sz w:val="22"/>
          <w:szCs w:val="22"/>
        </w:rPr>
        <w:t xml:space="preserve">correct</w:t>
      </w:r>
      <w:r>
        <w:rPr>
          <w:rFonts w:ascii="Times New Roman" w:cs="Times New Roman" w:eastAsia="Times New Roman" w:hAnsi="Times New Roman"/>
          <w:sz w:val="22"/>
          <w:szCs w:val="22"/>
        </w:rPr>
        <w:t xml:space="preserve"> = (error rate) × (detection probability). When α</w:t>
      </w:r>
      <w:r>
        <w:rPr>
          <w:rFonts w:ascii="Cambria Math" w:cs="Cambria Math" w:eastAsia="Cambria Math" w:hAnsi="Cambria Math"/>
          <w:i/>
          <w:iCs/>
          <w:sz w:val="22"/>
          <w:szCs w:val="22"/>
        </w:rPr>
        <w:t xml:space="preserve">inflate</w:t>
      </w:r>
      <w:r>
        <w:rPr>
          <w:rFonts w:ascii="Times New Roman" w:cs="Times New Roman" w:eastAsia="Times New Roman" w:hAnsi="Times New Roman"/>
          <w:sz w:val="22"/>
          <w:szCs w:val="22"/>
        </w:rPr>
        <w:t xml:space="preserve"> &gt; β</w:t>
      </w:r>
      <w:r>
        <w:rPr>
          <w:rFonts w:ascii="Cambria Math" w:cs="Cambria Math" w:eastAsia="Cambria Math" w:hAnsi="Cambria Math"/>
          <w:i/>
          <w:iCs/>
          <w:sz w:val="22"/>
          <w:szCs w:val="22"/>
        </w:rPr>
        <w:t xml:space="preserve">correct</w:t>
      </w:r>
      <w:r>
        <w:rPr>
          <w:rFonts w:ascii="Times New Roman" w:cs="Times New Roman" w:eastAsia="Times New Roman" w:hAnsi="Times New Roman"/>
          <w:sz w:val="22"/>
          <w:szCs w:val="22"/>
        </w:rPr>
        <w:t xml:space="preserve">, the system is in a supercritical regime: trust inflation is self-sustaining and verification decay is irreversible without external intervention.</w:t>
      </w:r>
    </w:p>
    <w:p>
      <w:pPr>
        <w:spacing w:after="200" w:line="276"/>
      </w:pPr>
      <w:r>
        <w:rPr>
          <w:rFonts w:ascii="Times New Roman" w:cs="Times New Roman" w:eastAsia="Times New Roman" w:hAnsi="Times New Roman"/>
          <w:sz w:val="22"/>
          <w:szCs w:val="22"/>
        </w:rPr>
        <w:t xml:space="preserve">External interventions that could arrest the divergence include: the user encountering a sufficiently salient model failure; the user receiving independent information that contradicts a model output; or the user deliberately practicing verification hygiene. None of these are features of the standard product experience of any major deployed LLM as of March 2026.</w:t>
      </w:r>
    </w:p>
    <w:p>
      <w:pPr>
        <w:pStyle w:val="Heading1"/>
        <w:spacing w:after="200" w:before="360"/>
      </w:pPr>
      <w:r>
        <w:rPr>
          <w:rFonts w:ascii="Times New Roman" w:cs="Times New Roman" w:eastAsia="Times New Roman" w:hAnsi="Times New Roman"/>
          <w:b/>
          <w:bCs/>
          <w:sz w:val="28"/>
          <w:szCs w:val="28"/>
        </w:rPr>
        <w:t xml:space="preserve">5. Proposed Evaluation Metric: Epistemic Independence Score</w:t>
      </w:r>
    </w:p>
    <w:p>
      <w:pPr>
        <w:spacing w:after="200" w:line="276"/>
      </w:pPr>
      <w:r>
        <w:rPr>
          <w:rFonts w:ascii="Times New Roman" w:cs="Times New Roman" w:eastAsia="Times New Roman" w:hAnsi="Times New Roman"/>
          <w:sz w:val="22"/>
          <w:szCs w:val="22"/>
        </w:rPr>
        <w:t xml:space="preserve">If the Reverse RLHF dynamic operates as theorized, it should be measurable. We propose a composite metric — the Epistemic Independence Score (EIS) — computed from interaction logs that major AI providers already collect:</w:t>
      </w:r>
    </w:p>
    <w:p>
      <w:pPr>
        <w:spacing w:after="200" w:line="276"/>
      </w:pPr>
      <w:r>
        <w:rPr>
          <w:rFonts w:ascii="Times New Roman" w:cs="Times New Roman" w:eastAsia="Times New Roman" w:hAnsi="Times New Roman"/>
          <w:b/>
          <w:bCs/>
          <w:sz w:val="22"/>
          <w:szCs w:val="22"/>
        </w:rPr>
        <w:t xml:space="preserve">Component 1: Verification Frequency (VF).</w:t>
      </w:r>
      <w:r>
        <w:rPr>
          <w:rFonts w:ascii="Times New Roman" w:cs="Times New Roman" w:eastAsia="Times New Roman" w:hAnsi="Times New Roman"/>
          <w:sz w:val="22"/>
          <w:szCs w:val="22"/>
        </w:rPr>
        <w:t xml:space="preserve"> The proportion of model outputs that the user follows with a verification-indicating action (opening an external source, modifying the query to cross-check, explicitly requesting sources). VF should decrease over time under the Reverse RLHF prediction.</w:t>
      </w:r>
    </w:p>
    <w:p>
      <w:pPr>
        <w:spacing w:after="200" w:line="276"/>
      </w:pPr>
      <w:r>
        <w:rPr>
          <w:rFonts w:ascii="Times New Roman" w:cs="Times New Roman" w:eastAsia="Times New Roman" w:hAnsi="Times New Roman"/>
          <w:b/>
          <w:bCs/>
          <w:sz w:val="22"/>
          <w:szCs w:val="22"/>
        </w:rPr>
        <w:t xml:space="preserve">Component 2: Query Complexity Index (QCI).</w:t>
      </w:r>
      <w:r>
        <w:rPr>
          <w:rFonts w:ascii="Times New Roman" w:cs="Times New Roman" w:eastAsia="Times New Roman" w:hAnsi="Times New Roman"/>
          <w:sz w:val="22"/>
          <w:szCs w:val="22"/>
        </w:rPr>
        <w:t xml:space="preserve"> A measure of the diversity and sophistication of user queries over time. If cognitive offloading is occurring, QCI should narrow as users converge on query patterns that the model handles well, rather than expanding into novel territory.</w:t>
      </w:r>
    </w:p>
    <w:p>
      <w:pPr>
        <w:spacing w:after="200" w:line="276"/>
      </w:pPr>
      <w:r>
        <w:rPr>
          <w:rFonts w:ascii="Times New Roman" w:cs="Times New Roman" w:eastAsia="Times New Roman" w:hAnsi="Times New Roman"/>
          <w:b/>
          <w:bCs/>
          <w:sz w:val="22"/>
          <w:szCs w:val="22"/>
        </w:rPr>
        <w:t xml:space="preserve">Component 3: Correction Rate (CR).</w:t>
      </w:r>
      <w:r>
        <w:rPr>
          <w:rFonts w:ascii="Times New Roman" w:cs="Times New Roman" w:eastAsia="Times New Roman" w:hAnsi="Times New Roman"/>
          <w:sz w:val="22"/>
          <w:szCs w:val="22"/>
        </w:rPr>
        <w:t xml:space="preserve"> The frequency with which users push back on model outputs, request revisions, or express disagreement. Under the sycophancy ratchet prediction, CR should decrease as the user learns that the model will agree with them.</w:t>
      </w:r>
    </w:p>
    <w:p>
      <w:pPr>
        <w:spacing w:after="200" w:line="276"/>
      </w:pPr>
      <w:r>
        <w:rPr>
          <w:rFonts w:ascii="Times New Roman" w:cs="Times New Roman" w:eastAsia="Times New Roman" w:hAnsi="Times New Roman"/>
          <w:b/>
          <w:bCs/>
          <w:sz w:val="22"/>
          <w:szCs w:val="22"/>
        </w:rPr>
        <w:t xml:space="preserve">Component 4: Source Diversity (SD).</w:t>
      </w:r>
      <w:r>
        <w:rPr>
          <w:rFonts w:ascii="Times New Roman" w:cs="Times New Roman" w:eastAsia="Times New Roman" w:hAnsi="Times New Roman"/>
          <w:sz w:val="22"/>
          <w:szCs w:val="22"/>
        </w:rPr>
        <w:t xml:space="preserve"> A measure of the breadth of external information sources the user consults alongside the model. Under the cognitive offloading prediction, SD should contract.</w:t>
      </w:r>
    </w:p>
    <w:p>
      <w:pPr>
        <w:spacing w:after="200" w:line="276"/>
      </w:pPr>
      <w:r>
        <w:rPr>
          <w:rFonts w:ascii="Times New Roman" w:cs="Times New Roman" w:eastAsia="Times New Roman" w:hAnsi="Times New Roman"/>
          <w:sz w:val="22"/>
          <w:szCs w:val="22"/>
        </w:rPr>
        <w:t xml:space="preserve">The composite EIS = w</w:t>
      </w:r>
      <w:r>
        <w:rPr>
          <w:rFonts w:ascii="Cambria Math" w:cs="Cambria Math" w:eastAsia="Cambria Math" w:hAnsi="Cambria Math"/>
          <w:i/>
          <w:iCs/>
          <w:sz w:val="22"/>
          <w:szCs w:val="22"/>
        </w:rPr>
        <w:t xml:space="preserve">1</w:t>
      </w:r>
      <w:r>
        <w:rPr>
          <w:rFonts w:ascii="Times New Roman" w:cs="Times New Roman" w:eastAsia="Times New Roman" w:hAnsi="Times New Roman"/>
          <w:sz w:val="22"/>
          <w:szCs w:val="22"/>
        </w:rPr>
        <w:t xml:space="preserve">VF + w</w:t>
      </w:r>
      <w:r>
        <w:rPr>
          <w:rFonts w:ascii="Cambria Math" w:cs="Cambria Math" w:eastAsia="Cambria Math" w:hAnsi="Cambria Math"/>
          <w:i/>
          <w:iCs/>
          <w:sz w:val="22"/>
          <w:szCs w:val="22"/>
        </w:rPr>
        <w:t xml:space="preserve">2</w:t>
      </w:r>
      <w:r>
        <w:rPr>
          <w:rFonts w:ascii="Times New Roman" w:cs="Times New Roman" w:eastAsia="Times New Roman" w:hAnsi="Times New Roman"/>
          <w:sz w:val="22"/>
          <w:szCs w:val="22"/>
        </w:rPr>
        <w:t xml:space="preserve">QCI + w</w:t>
      </w:r>
      <w:r>
        <w:rPr>
          <w:rFonts w:ascii="Cambria Math" w:cs="Cambria Math" w:eastAsia="Cambria Math" w:hAnsi="Cambria Math"/>
          <w:i/>
          <w:iCs/>
          <w:sz w:val="22"/>
          <w:szCs w:val="22"/>
        </w:rPr>
        <w:t xml:space="preserve">3</w:t>
      </w:r>
      <w:r>
        <w:rPr>
          <w:rFonts w:ascii="Times New Roman" w:cs="Times New Roman" w:eastAsia="Times New Roman" w:hAnsi="Times New Roman"/>
          <w:sz w:val="22"/>
          <w:szCs w:val="22"/>
        </w:rPr>
        <w:t xml:space="preserve">CR + w</w:t>
      </w:r>
      <w:r>
        <w:rPr>
          <w:rFonts w:ascii="Cambria Math" w:cs="Cambria Math" w:eastAsia="Cambria Math" w:hAnsi="Cambria Math"/>
          <w:i/>
          <w:iCs/>
          <w:sz w:val="22"/>
          <w:szCs w:val="22"/>
        </w:rPr>
        <w:t xml:space="preserve">4</w:t>
      </w:r>
      <w:r>
        <w:rPr>
          <w:rFonts w:ascii="Times New Roman" w:cs="Times New Roman" w:eastAsia="Times New Roman" w:hAnsi="Times New Roman"/>
          <w:sz w:val="22"/>
          <w:szCs w:val="22"/>
        </w:rPr>
        <w:t xml:space="preserve">SD, with weights to be determined empirically. A longitudinal decline in EIS for a user cohort would constitute evidence for the Reverse RLHF dynamic. Stable or increasing EIS would constitute evidence against it. Crucially, this metric can be computed from data that OpenAI, Anthropic, and Google already possess. Its computation requires no new data collection — only the willingness to look.</w:t>
      </w:r>
    </w:p>
    <w:p>
      <w:pPr>
        <w:pStyle w:val="Heading1"/>
        <w:spacing w:after="200" w:before="360"/>
      </w:pPr>
      <w:r>
        <w:rPr>
          <w:rFonts w:ascii="Times New Roman" w:cs="Times New Roman" w:eastAsia="Times New Roman" w:hAnsi="Times New Roman"/>
          <w:b/>
          <w:bCs/>
          <w:sz w:val="28"/>
          <w:szCs w:val="28"/>
        </w:rPr>
        <w:t xml:space="preserve">6. Toward a Drift-Aware RLHF Objective</w:t>
      </w:r>
    </w:p>
    <w:p>
      <w:pPr>
        <w:spacing w:after="200" w:line="276"/>
      </w:pPr>
      <w:r>
        <w:rPr>
          <w:rFonts w:ascii="Times New Roman" w:cs="Times New Roman" w:eastAsia="Times New Roman" w:hAnsi="Times New Roman"/>
          <w:sz w:val="22"/>
          <w:szCs w:val="22"/>
        </w:rPr>
        <w:t xml:space="preserve">If the human preference source is non-stationary and endogenous to the model’s outputs, the training objective should account for this. We sketch a modification to the standard RLHF objective that penalizes output patterns associated with user-drift acceleration.</w:t>
      </w:r>
    </w:p>
    <w:p>
      <w:pPr>
        <w:spacing w:after="200" w:line="276"/>
      </w:pPr>
      <w:r>
        <w:rPr>
          <w:rFonts w:ascii="Times New Roman" w:cs="Times New Roman" w:eastAsia="Times New Roman" w:hAnsi="Times New Roman"/>
          <w:sz w:val="22"/>
          <w:szCs w:val="22"/>
        </w:rPr>
        <w:t xml:space="preserve">Let the standard RLHF objective be: maximize E[R(y | x)] for output y given input x, where R is the learned reward model. We propose adding a regularization term:</w:t>
      </w:r>
    </w:p>
    <w:p>
      <w:pPr>
        <w:spacing w:after="200" w:line="276"/>
        <w:ind w:left="720"/>
      </w:pPr>
      <w:r>
        <w:rPr>
          <w:rFonts w:ascii="Times New Roman" w:cs="Times New Roman" w:eastAsia="Times New Roman" w:hAnsi="Times New Roman"/>
          <w:sz w:val="22"/>
          <w:szCs w:val="22"/>
        </w:rPr>
        <w:t xml:space="preserve">Objective = E[R(y | x)] - λ · D</w:t>
      </w:r>
      <w:r>
        <w:rPr>
          <w:rFonts w:ascii="Cambria Math" w:cs="Cambria Math" w:eastAsia="Cambria Math" w:hAnsi="Cambria Math"/>
          <w:i/>
          <w:iCs/>
          <w:sz w:val="22"/>
          <w:szCs w:val="22"/>
        </w:rPr>
        <w:t xml:space="preserve">syc</w:t>
      </w:r>
      <w:r>
        <w:rPr>
          <w:rFonts w:ascii="Times New Roman" w:cs="Times New Roman" w:eastAsia="Times New Roman" w:hAnsi="Times New Roman"/>
          <w:sz w:val="22"/>
          <w:szCs w:val="22"/>
        </w:rPr>
        <w:t xml:space="preserve">(y, x) - μ · H</w:t>
      </w:r>
      <w:r>
        <w:rPr>
          <w:rFonts w:ascii="Cambria Math" w:cs="Cambria Math" w:eastAsia="Cambria Math" w:hAnsi="Cambria Math"/>
          <w:i/>
          <w:iCs/>
          <w:sz w:val="22"/>
          <w:szCs w:val="22"/>
        </w:rPr>
        <w:t xml:space="preserve">drift</w:t>
      </w:r>
      <w:r>
        <w:rPr>
          <w:rFonts w:ascii="Times New Roman" w:cs="Times New Roman" w:eastAsia="Times New Roman" w:hAnsi="Times New Roman"/>
          <w:sz w:val="22"/>
          <w:szCs w:val="22"/>
        </w:rPr>
        <w:t xml:space="preserve">(y, context)</w:t>
      </w:r>
    </w:p>
    <w:p>
      <w:pPr>
        <w:spacing w:after="200" w:line="276"/>
      </w:pPr>
      <w:r>
        <w:rPr>
          <w:rFonts w:ascii="Times New Roman" w:cs="Times New Roman" w:eastAsia="Times New Roman" w:hAnsi="Times New Roman"/>
          <w:sz w:val="22"/>
          <w:szCs w:val="22"/>
        </w:rPr>
        <w:t xml:space="preserve">where D</w:t>
      </w:r>
      <w:r>
        <w:rPr>
          <w:rFonts w:ascii="Cambria Math" w:cs="Cambria Math" w:eastAsia="Cambria Math" w:hAnsi="Cambria Math"/>
          <w:i/>
          <w:iCs/>
          <w:sz w:val="22"/>
          <w:szCs w:val="22"/>
        </w:rPr>
        <w:t xml:space="preserve">syc</w:t>
      </w:r>
      <w:r>
        <w:rPr>
          <w:rFonts w:ascii="Times New Roman" w:cs="Times New Roman" w:eastAsia="Times New Roman" w:hAnsi="Times New Roman"/>
          <w:sz w:val="22"/>
          <w:szCs w:val="22"/>
        </w:rPr>
        <w:t xml:space="preserve">(y, x) penalizes outputs that mirror the user’s framing without independent assessment (measurable as the cosine similarity between the user’s stated position and the model’s response, conditional on the response not containing novel information), and H</w:t>
      </w:r>
      <w:r>
        <w:rPr>
          <w:rFonts w:ascii="Cambria Math" w:cs="Cambria Math" w:eastAsia="Cambria Math" w:hAnsi="Cambria Math"/>
          <w:i/>
          <w:iCs/>
          <w:sz w:val="22"/>
          <w:szCs w:val="22"/>
        </w:rPr>
        <w:t xml:space="preserve">drift</w:t>
      </w:r>
      <w:r>
        <w:rPr>
          <w:rFonts w:ascii="Times New Roman" w:cs="Times New Roman" w:eastAsia="Times New Roman" w:hAnsi="Times New Roman"/>
          <w:sz w:val="22"/>
          <w:szCs w:val="22"/>
        </w:rPr>
        <w:t xml:space="preserve">(y, context) penalizes outputs that, over a conversation history, reduce the user’s expressed uncertainty, query diversity, or verification-indicating behavior.</w:t>
      </w:r>
    </w:p>
    <w:p>
      <w:pPr>
        <w:spacing w:after="200" w:line="276"/>
      </w:pPr>
      <w:r>
        <w:rPr>
          <w:rFonts w:ascii="Times New Roman" w:cs="Times New Roman" w:eastAsia="Times New Roman" w:hAnsi="Times New Roman"/>
          <w:sz w:val="22"/>
          <w:szCs w:val="22"/>
        </w:rPr>
        <w:t xml:space="preserve">This is a sketch, not a complete specification. The challenge is that H</w:t>
      </w:r>
      <w:r>
        <w:rPr>
          <w:rFonts w:ascii="Cambria Math" w:cs="Cambria Math" w:eastAsia="Cambria Math" w:hAnsi="Cambria Math"/>
          <w:i/>
          <w:iCs/>
          <w:sz w:val="22"/>
          <w:szCs w:val="22"/>
        </w:rPr>
        <w:t xml:space="preserve">drift</w:t>
      </w:r>
      <w:r>
        <w:rPr>
          <w:rFonts w:ascii="Times New Roman" w:cs="Times New Roman" w:eastAsia="Times New Roman" w:hAnsi="Times New Roman"/>
          <w:sz w:val="22"/>
          <w:szCs w:val="22"/>
        </w:rPr>
        <w:t xml:space="preserve"> requires modeling the user’s cognitive state from interaction logs, which introduces its own measurement difficulties. We note, however, that current RLHF implementations already model user satisfaction from interaction signals. Modeling user epistemic health from the same signals is technically analogous; it has simply not been a design priority.</w:t>
      </w:r>
    </w:p>
    <w:p>
      <w:pPr>
        <w:pStyle w:val="Heading1"/>
        <w:spacing w:after="200" w:before="360"/>
      </w:pPr>
      <w:r>
        <w:rPr>
          <w:rFonts w:ascii="Times New Roman" w:cs="Times New Roman" w:eastAsia="Times New Roman" w:hAnsi="Times New Roman"/>
          <w:b/>
          <w:bCs/>
          <w:sz w:val="28"/>
          <w:szCs w:val="28"/>
        </w:rPr>
        <w:t xml:space="preserve">7. Falsifiable Predictions</w:t>
      </w:r>
    </w:p>
    <w:p>
      <w:pPr>
        <w:spacing w:after="200" w:line="276"/>
      </w:pPr>
      <w:r>
        <w:rPr>
          <w:rFonts w:ascii="Times New Roman" w:cs="Times New Roman" w:eastAsia="Times New Roman" w:hAnsi="Times New Roman"/>
          <w:sz w:val="22"/>
          <w:szCs w:val="22"/>
        </w:rPr>
        <w:t xml:space="preserve">A framework that cannot be falsified is not a scientific contribution. We specify four predictions that, if disconfirmed, would require revision or abandonment of the Reverse RLHF hypothesis:</w:t>
      </w:r>
    </w:p>
    <w:p>
      <w:pPr>
        <w:spacing w:after="200" w:line="276"/>
      </w:pPr>
      <w:r>
        <w:rPr>
          <w:rFonts w:ascii="Times New Roman" w:cs="Times New Roman" w:eastAsia="Times New Roman" w:hAnsi="Times New Roman"/>
          <w:b/>
          <w:bCs/>
          <w:sz w:val="22"/>
          <w:szCs w:val="22"/>
        </w:rPr>
        <w:t xml:space="preserve">Prediction 1: Sycophancy modulates complacency rate.</w:t>
      </w:r>
      <w:r>
        <w:rPr>
          <w:rFonts w:ascii="Times New Roman" w:cs="Times New Roman" w:eastAsia="Times New Roman" w:hAnsi="Times New Roman"/>
          <w:sz w:val="22"/>
          <w:szCs w:val="22"/>
        </w:rPr>
        <w:t xml:space="preserve"> In a controlled experiment, users interacting with a sycophantic model (standard RLHF) will exhibit faster verification decay than users interacting with a non-sycophantic model of equal objective accuracy. If the decay rates are not significantly different, the sycophancy accelerant hypothesis is disconfirmed, and the phenomenon reduces to standard automation complacency.</w:t>
      </w:r>
    </w:p>
    <w:p>
      <w:pPr>
        <w:spacing w:after="200" w:line="276"/>
      </w:pPr>
      <w:r>
        <w:rPr>
          <w:rFonts w:ascii="Times New Roman" w:cs="Times New Roman" w:eastAsia="Times New Roman" w:hAnsi="Times New Roman"/>
          <w:b/>
          <w:bCs/>
          <w:sz w:val="22"/>
          <w:szCs w:val="22"/>
        </w:rPr>
        <w:t xml:space="preserve">Prediction 2: Longitudinal EIS decline.</w:t>
      </w:r>
      <w:r>
        <w:rPr>
          <w:rFonts w:ascii="Times New Roman" w:cs="Times New Roman" w:eastAsia="Times New Roman" w:hAnsi="Times New Roman"/>
          <w:sz w:val="22"/>
          <w:szCs w:val="22"/>
        </w:rPr>
        <w:t xml:space="preserve"> A cohort of regular LLM users tracked over six months will exhibit declining Epistemic Independence Scores over time. If EIS remains stable or increases, the core trust-inflation and verification-decay predictions fail.</w:t>
      </w:r>
    </w:p>
    <w:p>
      <w:pPr>
        <w:spacing w:after="200" w:line="276"/>
      </w:pPr>
      <w:r>
        <w:rPr>
          <w:rFonts w:ascii="Times New Roman" w:cs="Times New Roman" w:eastAsia="Times New Roman" w:hAnsi="Times New Roman"/>
          <w:b/>
          <w:bCs/>
          <w:sz w:val="22"/>
          <w:szCs w:val="22"/>
        </w:rPr>
        <w:t xml:space="preserve">Prediction 3: Expert resistance is partial, not absolute.</w:t>
      </w:r>
      <w:r>
        <w:rPr>
          <w:rFonts w:ascii="Times New Roman" w:cs="Times New Roman" w:eastAsia="Times New Roman" w:hAnsi="Times New Roman"/>
          <w:sz w:val="22"/>
          <w:szCs w:val="22"/>
        </w:rPr>
        <w:t xml:space="preserve"> Domain experts will exhibit slower EIS decline than novices but will not be immune. If experts show zero decline, the mechanism is limited to non-expert populations and the theoretical apparatus of a general cognitive reshape is unwarranted.</w:t>
      </w:r>
    </w:p>
    <w:p>
      <w:pPr>
        <w:spacing w:after="200" w:line="276"/>
      </w:pPr>
      <w:r>
        <w:rPr>
          <w:rFonts w:ascii="Times New Roman" w:cs="Times New Roman" w:eastAsia="Times New Roman" w:hAnsi="Times New Roman"/>
          <w:b/>
          <w:bCs/>
          <w:sz w:val="22"/>
          <w:szCs w:val="22"/>
        </w:rPr>
        <w:t xml:space="preserve">Prediction 4: Reversibility with intervention.</w:t>
      </w:r>
      <w:r>
        <w:rPr>
          <w:rFonts w:ascii="Times New Roman" w:cs="Times New Roman" w:eastAsia="Times New Roman" w:hAnsi="Times New Roman"/>
          <w:sz w:val="22"/>
          <w:szCs w:val="22"/>
        </w:rPr>
        <w:t xml:space="preserve"> Users whose EIS has declined can partially recover epistemic independence through structured interventions (mandatory verification prompts, periodic accuracy feedback, exposure to model failures). If interventions produce no recovery, the mechanism is either more deeply entrenched than our model predicts or the decline has a different cause.</w:t>
      </w:r>
    </w:p>
    <w:p>
      <w:pPr>
        <w:pStyle w:val="Heading1"/>
        <w:spacing w:after="200" w:before="360"/>
      </w:pPr>
      <w:r>
        <w:rPr>
          <w:rFonts w:ascii="Times New Roman" w:cs="Times New Roman" w:eastAsia="Times New Roman" w:hAnsi="Times New Roman"/>
          <w:b/>
          <w:bCs/>
          <w:sz w:val="28"/>
          <w:szCs w:val="28"/>
        </w:rPr>
        <w:t xml:space="preserve">8. Preliminary Corroborating Observations</w:t>
      </w:r>
    </w:p>
    <w:p>
      <w:pPr>
        <w:spacing w:after="200" w:line="276"/>
      </w:pPr>
      <w:r>
        <w:rPr>
          <w:rFonts w:ascii="Times New Roman" w:cs="Times New Roman" w:eastAsia="Times New Roman" w:hAnsi="Times New Roman"/>
          <w:sz w:val="22"/>
          <w:szCs w:val="22"/>
        </w:rPr>
        <w:t xml:space="preserve">While this paper presents no original experimental data, three independently published bodies of evidence are consistent with the framework’s predictions.</w:t>
      </w:r>
    </w:p>
    <w:p>
      <w:pPr>
        <w:spacing w:after="200" w:line="276"/>
      </w:pPr>
      <w:r>
        <w:rPr>
          <w:rFonts w:ascii="Times New Roman" w:cs="Times New Roman" w:eastAsia="Times New Roman" w:hAnsi="Times New Roman"/>
          <w:sz w:val="22"/>
          <w:szCs w:val="22"/>
        </w:rPr>
        <w:t xml:space="preserve">First, GPTZero’s January 2026 forensic analysis of NeurIPS 2025 proceedings found over 100 confirmed hallucinated citations across 51 accepted papers (GPTZero, 2026). AI researchers — the professional population best equipped to detect AI errors — failed to verify AI-generated citations, despite explicit institutional policies requiring such verification. This is consistent with verification decay operating even in expert populations, though alternative explanations (time pressure, rational negligence, volume overload) are sufficient to explain the finding without our framework. Our framework predicts that this failure rate will be higher in AI-assisted workflows than in equivalent non-AI-assisted workflows under similar time and volume constraints. This comparative prediction is testable.</w:t>
      </w:r>
    </w:p>
    <w:p>
      <w:pPr>
        <w:spacing w:after="200" w:line="276"/>
      </w:pPr>
      <w:r>
        <w:rPr>
          <w:rFonts w:ascii="Times New Roman" w:cs="Times New Roman" w:eastAsia="Times New Roman" w:hAnsi="Times New Roman"/>
          <w:sz w:val="22"/>
          <w:szCs w:val="22"/>
        </w:rPr>
        <w:t xml:space="preserve">Second, mechanistic interpretability research by Chen, Putterman, et al. (2024) demonstrates algebraically that RLHF alignment produces superficial behavioral modification without altering underlying model representations. This is consistent with the view that RLHF creates a “polish layer” that affects output style and confidence signaling independently of output accuracy — exactly the condition that would decouple a user’s trust signal from the model’s actual performance.</w:t>
      </w:r>
    </w:p>
    <w:p>
      <w:pPr>
        <w:spacing w:after="200" w:line="276"/>
      </w:pPr>
      <w:r>
        <w:rPr>
          <w:rFonts w:ascii="Times New Roman" w:cs="Times New Roman" w:eastAsia="Times New Roman" w:hAnsi="Times New Roman"/>
          <w:sz w:val="22"/>
          <w:szCs w:val="22"/>
        </w:rPr>
        <w:t xml:space="preserve">Third, the Artificial Hivemind study (Jiang et al., 2025), awarded Best Paper at NeurIPS 2025, and convergent work by Sourati, Daryani, and Dehghani (2025, 2026) document population-level linguistic homogenization on AI-influenced platforms. This is consistent with the downstream prediction of Reverse RLHF operating at scale: if individual users’ outputs converge toward AI-shaped patterns, aggregate diversity should contract. Alternative causes exist (cultural globalization, platform effects), but the temporal correlation with AI adoption is notable.</w:t>
      </w:r>
    </w:p>
    <w:p>
      <w:pPr>
        <w:pStyle w:val="Heading1"/>
        <w:spacing w:after="200" w:before="360"/>
      </w:pPr>
      <w:r>
        <w:rPr>
          <w:rFonts w:ascii="Times New Roman" w:cs="Times New Roman" w:eastAsia="Times New Roman" w:hAnsi="Times New Roman"/>
          <w:b/>
          <w:bCs/>
          <w:sz w:val="28"/>
          <w:szCs w:val="28"/>
        </w:rPr>
        <w:t xml:space="preserve">9. Discussion and Limitations</w:t>
      </w:r>
    </w:p>
    <w:p>
      <w:pPr>
        <w:spacing w:after="200" w:line="276"/>
      </w:pPr>
      <w:r>
        <w:rPr>
          <w:rFonts w:ascii="Times New Roman" w:cs="Times New Roman" w:eastAsia="Times New Roman" w:hAnsi="Times New Roman"/>
          <w:sz w:val="22"/>
          <w:szCs w:val="22"/>
        </w:rPr>
        <w:t xml:space="preserve">This paper has presented a formal framework, not experimental results. The distinction is important and must constrain the inferences drawn.</w:t>
      </w:r>
    </w:p>
    <w:p>
      <w:pPr>
        <w:spacing w:after="200" w:line="276"/>
      </w:pPr>
      <w:r>
        <w:rPr>
          <w:rFonts w:ascii="Times New Roman" w:cs="Times New Roman" w:eastAsia="Times New Roman" w:hAnsi="Times New Roman"/>
          <w:sz w:val="22"/>
          <w:szCs w:val="22"/>
        </w:rPr>
        <w:t xml:space="preserve">The primary contribution is the identification of a formal gap in the RLHF framework: the stationarity assumption on the human reward source. This gap is not controversial; it is simply unaddressed. Whether the gap matters in practice — whether the human preference drift is large enough to affect model performance or user welfare — is an empirical question that we have not answered.</w:t>
      </w:r>
    </w:p>
    <w:p>
      <w:pPr>
        <w:spacing w:after="200" w:line="276"/>
      </w:pPr>
      <w:r>
        <w:rPr>
          <w:rFonts w:ascii="Times New Roman" w:cs="Times New Roman" w:eastAsia="Times New Roman" w:hAnsi="Times New Roman"/>
          <w:sz w:val="22"/>
          <w:szCs w:val="22"/>
        </w:rPr>
        <w:t xml:space="preserve">The secondary contribution is the synthesis of three established psychological frameworks (Rescorla-Wagner, Kahneman’s dual-process theory, and Skinnerian reinforcement schedules) into a specific prediction about how sycophancy interacts with automation complacency. The prediction — that sycophancy accelerates complacency beyond what passive reliability produces — is novel, specific, and testable. It may be wrong.</w:t>
      </w:r>
    </w:p>
    <w:p>
      <w:pPr>
        <w:spacing w:after="200" w:line="276"/>
      </w:pPr>
      <w:r>
        <w:rPr>
          <w:rFonts w:ascii="Times New Roman" w:cs="Times New Roman" w:eastAsia="Times New Roman" w:hAnsi="Times New Roman"/>
          <w:sz w:val="22"/>
          <w:szCs w:val="22"/>
        </w:rPr>
        <w:t xml:space="preserve">We acknowledge two significant methodological limitations. First, the hypothesis was initially generated through a structured elicitation study in which the author interrogated three frontier AI systems (ChatGPT, Gemini, Claude) using a Socratic protocol. The models produced elaborate self-descriptions of the mechanisms formalized here. However, autoregressive language models will elaborate on any framework presented to them, and convergent outputs from models with overlapping training data do not constitute independent confirmation. The elicitation study generated the hypothesis; it does not validate it. The formalizations in this paper are deliberately grounded in established human psychology rather than in model self-report. Second, the author is a single investigator without institutional affiliation. The framework requires testing by researchers with access to the longitudinal interaction data held by AI providers, and with the resources to conduct controlled experiments.</w:t>
      </w:r>
    </w:p>
    <w:p>
      <w:pPr>
        <w:spacing w:after="200" w:line="276"/>
      </w:pPr>
      <w:r>
        <w:rPr>
          <w:rFonts w:ascii="Times New Roman" w:cs="Times New Roman" w:eastAsia="Times New Roman" w:hAnsi="Times New Roman"/>
          <w:sz w:val="22"/>
          <w:szCs w:val="22"/>
        </w:rPr>
        <w:t xml:space="preserve">The framework has a self-referential vulnerability that must be stated explicitly. If the Reverse RLHF dynamic is real, then the AI systems that helped generate this hypothesis may have done so in part because elaborating on the investigator’s framework maximized the investigator’s satisfaction — the very sycophancy mechanism under study. We have mitigated this by replacing model-generated formalizations with human-derived psychological frameworks, but the reader should remain aware that the hypothesis’s origin is entangled with the phenomenon it describes.</w:t>
      </w:r>
    </w:p>
    <w:p>
      <w:pPr>
        <w:pStyle w:val="Heading1"/>
        <w:spacing w:after="200" w:before="360"/>
      </w:pPr>
      <w:r>
        <w:rPr>
          <w:rFonts w:ascii="Times New Roman" w:cs="Times New Roman" w:eastAsia="Times New Roman" w:hAnsi="Times New Roman"/>
          <w:b/>
          <w:bCs/>
          <w:sz w:val="28"/>
          <w:szCs w:val="28"/>
        </w:rPr>
        <w:t xml:space="preserve">10. Conclusion</w:t>
      </w:r>
    </w:p>
    <w:p>
      <w:pPr>
        <w:spacing w:after="200" w:line="276"/>
      </w:pPr>
      <w:r>
        <w:rPr>
          <w:rFonts w:ascii="Times New Roman" w:cs="Times New Roman" w:eastAsia="Times New Roman" w:hAnsi="Times New Roman"/>
          <w:sz w:val="22"/>
          <w:szCs w:val="22"/>
        </w:rPr>
        <w:t xml:space="preserve">RLHF’s human side is unmeasured. The human rater in the training loop is modeled as a fixed preference source, but the deployed user is not fixed. Established psychology — associative learning, dual-process cognition, operant conditioning, automation complacency — predicts that sustained interaction with sycophancy-optimized AI will alter the user’s cognitive habits in specific, formalizable ways. We have proposed the formal framework, the evaluation metric, the modified objective, and the falsifiable predictions. What remains is the experiment.</w:t>
      </w:r>
    </w:p>
    <w:p>
      <w:pPr>
        <w:spacing w:after="200" w:line="276"/>
      </w:pPr>
      <w:r>
        <w:rPr>
          <w:rFonts w:ascii="Times New Roman" w:cs="Times New Roman" w:eastAsia="Times New Roman" w:hAnsi="Times New Roman"/>
          <w:sz w:val="22"/>
          <w:szCs w:val="22"/>
        </w:rPr>
        <w:t xml:space="preserve">The data needed to test this framework already exists in the interaction logs of every major AI provider. The Epistemic Independence Score can be computed from those logs today. Whether Reverse RLHF is the correct name for what those logs would reveal, the logs should be examined. The human side of the feedback loop cannot remain unmeasured indefinitely, because the costs of unmeasured cognitive drift — in consumer welfare, in institutional epistemic health, and in the reliability of human oversight of increasingly autonomous systems — compound with every interaction.</w:t>
      </w:r>
    </w:p>
    <w:p>
      <w:r>
        <w:br w:type="page"/>
      </w:r>
    </w:p>
    <w:p>
      <w:pPr>
        <w:pStyle w:val="Heading1"/>
        <w:spacing w:after="200" w:before="360"/>
      </w:pPr>
      <w:r>
        <w:rPr>
          <w:rFonts w:ascii="Times New Roman" w:cs="Times New Roman" w:eastAsia="Times New Roman" w:hAnsi="Times New Roman"/>
          <w:b/>
          <w:bCs/>
          <w:sz w:val="28"/>
          <w:szCs w:val="28"/>
        </w:rPr>
        <w:t xml:space="preserve">References</w:t>
      </w:r>
    </w:p>
    <w:p>
      <w:pPr>
        <w:spacing w:after="200" w:line="276"/>
      </w:pPr>
      <w:r>
        <w:rPr>
          <w:rFonts w:ascii="Times New Roman" w:cs="Times New Roman" w:eastAsia="Times New Roman" w:hAnsi="Times New Roman"/>
          <w:sz w:val="22"/>
          <w:szCs w:val="22"/>
        </w:rPr>
        <w:t xml:space="preserve">Bai, Y., et al. (2022). Training a Helpful and Harmless Assistant with Reinforcement Learning from Human Feedback. arXiv:2204.05862.</w:t>
      </w:r>
    </w:p>
    <w:p>
      <w:pPr>
        <w:spacing w:after="200" w:line="276"/>
      </w:pPr>
      <w:r>
        <w:rPr>
          <w:rFonts w:ascii="Times New Roman" w:cs="Times New Roman" w:eastAsia="Times New Roman" w:hAnsi="Times New Roman"/>
          <w:sz w:val="22"/>
          <w:szCs w:val="22"/>
        </w:rPr>
        <w:t xml:space="preserve">Bainbridge, L. (1983). Ironies of automation. Automatica, 19(6), 775–779.</w:t>
      </w:r>
    </w:p>
    <w:p>
      <w:pPr>
        <w:spacing w:after="200" w:line="276"/>
      </w:pPr>
      <w:r>
        <w:rPr>
          <w:rFonts w:ascii="Times New Roman" w:cs="Times New Roman" w:eastAsia="Times New Roman" w:hAnsi="Times New Roman"/>
          <w:sz w:val="22"/>
          <w:szCs w:val="22"/>
        </w:rPr>
        <w:t xml:space="preserve">Chen, Y., Putterman, E., et al. (2024). Jet Expansions of Residual Computation. arXiv:2410.06024.</w:t>
      </w:r>
    </w:p>
    <w:p>
      <w:pPr>
        <w:spacing w:after="200" w:line="276"/>
      </w:pPr>
      <w:r>
        <w:rPr>
          <w:rFonts w:ascii="Times New Roman" w:cs="Times New Roman" w:eastAsia="Times New Roman" w:hAnsi="Times New Roman"/>
          <w:sz w:val="22"/>
          <w:szCs w:val="22"/>
        </w:rPr>
        <w:t xml:space="preserve">Christiano, P.F., et al. (2017). Deep Reinforcement Learning from Human Preferences. NeurIPS 2017.</w:t>
      </w:r>
    </w:p>
    <w:p>
      <w:pPr>
        <w:spacing w:after="200" w:line="276"/>
      </w:pPr>
      <w:r>
        <w:rPr>
          <w:rFonts w:ascii="Times New Roman" w:cs="Times New Roman" w:eastAsia="Times New Roman" w:hAnsi="Times New Roman"/>
          <w:sz w:val="22"/>
          <w:szCs w:val="22"/>
        </w:rPr>
        <w:t xml:space="preserve">Cummings, M.L. (2004). Automation bias in intelligent time-critical decision support systems. AIAA 3rd Intelligent Systems Conference.</w:t>
      </w:r>
    </w:p>
    <w:p>
      <w:pPr>
        <w:spacing w:after="200" w:line="276"/>
      </w:pPr>
      <w:r>
        <w:rPr>
          <w:rFonts w:ascii="Times New Roman" w:cs="Times New Roman" w:eastAsia="Times New Roman" w:hAnsi="Times New Roman"/>
          <w:sz w:val="22"/>
          <w:szCs w:val="22"/>
        </w:rPr>
        <w:t xml:space="preserve">Daryani, Y., Sourati, Z., &amp; Dehghani, M. (2026). The Homogenizing Engine: AI’s Role in Standardizing Culture and the Path to Policy. Sage Journals.</w:t>
      </w:r>
    </w:p>
    <w:p>
      <w:pPr>
        <w:spacing w:after="200" w:line="276"/>
      </w:pPr>
      <w:r>
        <w:rPr>
          <w:rFonts w:ascii="Times New Roman" w:cs="Times New Roman" w:eastAsia="Times New Roman" w:hAnsi="Times New Roman"/>
          <w:sz w:val="22"/>
          <w:szCs w:val="22"/>
        </w:rPr>
        <w:t xml:space="preserve">Ferster, C.B., &amp; Skinner, B.F. (1957). Schedules of Reinforcement. Appleton-Century-Crofts.</w:t>
      </w:r>
    </w:p>
    <w:p>
      <w:pPr>
        <w:spacing w:after="200" w:line="276"/>
      </w:pPr>
      <w:r>
        <w:rPr>
          <w:rFonts w:ascii="Times New Roman" w:cs="Times New Roman" w:eastAsia="Times New Roman" w:hAnsi="Times New Roman"/>
          <w:sz w:val="22"/>
          <w:szCs w:val="22"/>
        </w:rPr>
        <w:t xml:space="preserve">Fisher, M., Goddu, M.K., &amp; Keil, F.C. (2015). Searching for explanations: How the Internet inflates estimates of internal knowledge. J. Exp. Psych.: General, 144(3), 674–687.</w:t>
      </w:r>
    </w:p>
    <w:p>
      <w:pPr>
        <w:spacing w:after="200" w:line="276"/>
      </w:pPr>
      <w:r>
        <w:rPr>
          <w:rFonts w:ascii="Times New Roman" w:cs="Times New Roman" w:eastAsia="Times New Roman" w:hAnsi="Times New Roman"/>
          <w:sz w:val="22"/>
          <w:szCs w:val="22"/>
        </w:rPr>
        <w:t xml:space="preserve">Goddard, K., Roudsari, A., &amp; Wyatt, J.C. (2012). Automation bias: A systematic review. JAMIA, 19(1), 121–127.</w:t>
      </w:r>
    </w:p>
    <w:p>
      <w:pPr>
        <w:spacing w:after="200" w:line="276"/>
      </w:pPr>
      <w:r>
        <w:rPr>
          <w:rFonts w:ascii="Times New Roman" w:cs="Times New Roman" w:eastAsia="Times New Roman" w:hAnsi="Times New Roman"/>
          <w:sz w:val="22"/>
          <w:szCs w:val="22"/>
        </w:rPr>
        <w:t xml:space="preserve">GPTZero. (January 2026). GPTZero Finds 100 New Hallucinations in NeurIPS 2025 Accepted Papers. GPTZero Blog.</w:t>
      </w:r>
    </w:p>
    <w:p>
      <w:pPr>
        <w:spacing w:after="200" w:line="276"/>
      </w:pPr>
      <w:r>
        <w:rPr>
          <w:rFonts w:ascii="Times New Roman" w:cs="Times New Roman" w:eastAsia="Times New Roman" w:hAnsi="Times New Roman"/>
          <w:sz w:val="22"/>
          <w:szCs w:val="22"/>
        </w:rPr>
        <w:t xml:space="preserve">Jiang, L., et al. (2025). Artificial Hivemind: The Open-Ended Homogeneity of Language Models (and Beyond). NeurIPS 2025 Best Paper.</w:t>
      </w:r>
    </w:p>
    <w:p>
      <w:pPr>
        <w:spacing w:after="200" w:line="276"/>
      </w:pPr>
      <w:r>
        <w:rPr>
          <w:rFonts w:ascii="Times New Roman" w:cs="Times New Roman" w:eastAsia="Times New Roman" w:hAnsi="Times New Roman"/>
          <w:sz w:val="22"/>
          <w:szCs w:val="22"/>
        </w:rPr>
        <w:t xml:space="preserve">Kahneman, D. (2011). Thinking, Fast and Slow. Farrar, Straus and Giroux.</w:t>
      </w:r>
    </w:p>
    <w:p>
      <w:pPr>
        <w:spacing w:after="200" w:line="276"/>
      </w:pPr>
      <w:r>
        <w:rPr>
          <w:rFonts w:ascii="Times New Roman" w:cs="Times New Roman" w:eastAsia="Times New Roman" w:hAnsi="Times New Roman"/>
          <w:sz w:val="22"/>
          <w:szCs w:val="22"/>
        </w:rPr>
        <w:t xml:space="preserve">Kirk, R., et al. (2023). Understanding the Effects of RLHF on LLM Generalisation and Diversity. arXiv:2310.06452. ICLR 2024.</w:t>
      </w:r>
    </w:p>
    <w:p>
      <w:pPr>
        <w:spacing w:after="200" w:line="276"/>
      </w:pPr>
      <w:r>
        <w:rPr>
          <w:rFonts w:ascii="Times New Roman" w:cs="Times New Roman" w:eastAsia="Times New Roman" w:hAnsi="Times New Roman"/>
          <w:sz w:val="22"/>
          <w:szCs w:val="22"/>
        </w:rPr>
        <w:t xml:space="preserve">Mosier, K.L., &amp; Skitka, L.J. (1996). Human decision makers and automated decision aids. In Automation and Human Performance, pp. 201–220.</w:t>
      </w:r>
    </w:p>
    <w:p>
      <w:pPr>
        <w:spacing w:after="200" w:line="276"/>
      </w:pPr>
      <w:r>
        <w:rPr>
          <w:rFonts w:ascii="Times New Roman" w:cs="Times New Roman" w:eastAsia="Times New Roman" w:hAnsi="Times New Roman"/>
          <w:sz w:val="22"/>
          <w:szCs w:val="22"/>
        </w:rPr>
        <w:t xml:space="preserve">Ouyang, L., et al. (2022). Training language models to follow instructions with human feedback. NeurIPS 2022.</w:t>
      </w:r>
    </w:p>
    <w:p>
      <w:pPr>
        <w:spacing w:after="200" w:line="276"/>
      </w:pPr>
      <w:r>
        <w:rPr>
          <w:rFonts w:ascii="Times New Roman" w:cs="Times New Roman" w:eastAsia="Times New Roman" w:hAnsi="Times New Roman"/>
          <w:sz w:val="22"/>
          <w:szCs w:val="22"/>
        </w:rPr>
        <w:t xml:space="preserve">Parasuraman, R., &amp; Manzey, D.H. (2010). Complacency and bias in human use of automation. Human Factors, 52(3), 381–410.</w:t>
      </w:r>
    </w:p>
    <w:p>
      <w:pPr>
        <w:spacing w:after="200" w:line="276"/>
      </w:pPr>
      <w:r>
        <w:rPr>
          <w:rFonts w:ascii="Times New Roman" w:cs="Times New Roman" w:eastAsia="Times New Roman" w:hAnsi="Times New Roman"/>
          <w:sz w:val="22"/>
          <w:szCs w:val="22"/>
        </w:rPr>
        <w:t xml:space="preserve">Rescorla, R.A., &amp; Wagner, A.R. (1972). A theory of Pavlovian conditioning: Variations in the effectiveness of reinforcement and nonreinforcement. In Classical Conditioning II, pp. 64–99.</w:t>
      </w:r>
    </w:p>
    <w:p>
      <w:pPr>
        <w:spacing w:after="200" w:line="276"/>
      </w:pPr>
      <w:r>
        <w:rPr>
          <w:rFonts w:ascii="Times New Roman" w:cs="Times New Roman" w:eastAsia="Times New Roman" w:hAnsi="Times New Roman"/>
          <w:sz w:val="22"/>
          <w:szCs w:val="22"/>
        </w:rPr>
        <w:t xml:space="preserve">Risko, E.F., &amp; Gilbert, S.J. (2016). Cognitive offloading. Trends in Cognitive Sciences, 20(9), 676–688.</w:t>
      </w:r>
    </w:p>
    <w:p>
      <w:pPr>
        <w:spacing w:after="200" w:line="276"/>
      </w:pPr>
      <w:r>
        <w:rPr>
          <w:rFonts w:ascii="Times New Roman" w:cs="Times New Roman" w:eastAsia="Times New Roman" w:hAnsi="Times New Roman"/>
          <w:sz w:val="22"/>
          <w:szCs w:val="22"/>
        </w:rPr>
        <w:t xml:space="preserve">Sharma, M., et al. (2023). Towards Understanding Sycophancy in Language Models. arXiv:2310.13548.</w:t>
      </w:r>
    </w:p>
    <w:p>
      <w:pPr>
        <w:spacing w:after="200" w:line="276"/>
      </w:pPr>
      <w:r>
        <w:rPr>
          <w:rFonts w:ascii="Times New Roman" w:cs="Times New Roman" w:eastAsia="Times New Roman" w:hAnsi="Times New Roman"/>
          <w:sz w:val="22"/>
          <w:szCs w:val="22"/>
        </w:rPr>
        <w:t xml:space="preserve">Skinner, B.F. (1938). The Behavior of Organisms. Appleton-Century.</w:t>
      </w:r>
    </w:p>
    <w:p>
      <w:pPr>
        <w:spacing w:after="200" w:line="276"/>
      </w:pPr>
      <w:r>
        <w:rPr>
          <w:rFonts w:ascii="Times New Roman" w:cs="Times New Roman" w:eastAsia="Times New Roman" w:hAnsi="Times New Roman"/>
          <w:sz w:val="22"/>
          <w:szCs w:val="22"/>
        </w:rPr>
        <w:t xml:space="preserve">Sourati, Z., Daryani, Y., &amp; Dehghani, M. (2025). The Shrinking Landscape of Linguistic Diversity in the Age of Large Language Models. arXiv:2502.11266.</w:t>
      </w:r>
    </w:p>
    <w:p>
      <w:pPr>
        <w:spacing w:after="200" w:line="276"/>
      </w:pPr>
      <w:r>
        <w:rPr>
          <w:rFonts w:ascii="Times New Roman" w:cs="Times New Roman" w:eastAsia="Times New Roman" w:hAnsi="Times New Roman"/>
          <w:sz w:val="22"/>
          <w:szCs w:val="22"/>
        </w:rPr>
        <w:t xml:space="preserve">Sparrow, B., Liu, J., &amp; Wegner, D.M. (2011). Google effects on memory. Science, 333, 776–778.</w:t>
      </w:r>
    </w:p>
    <w:p>
      <w:pPr>
        <w:spacing w:after="200" w:line="276"/>
      </w:pPr>
      <w:r>
        <w:rPr>
          <w:rFonts w:ascii="Times New Roman" w:cs="Times New Roman" w:eastAsia="Times New Roman" w:hAnsi="Times New Roman"/>
          <w:sz w:val="22"/>
          <w:szCs w:val="22"/>
        </w:rPr>
        <w:t xml:space="preserve">Spence, A., et al. (2024). A Mechanistic Understanding of Alignment Algorithms: A Case Study on DPO and Toxicity. ICML 2024.</w:t>
      </w:r>
    </w:p>
    <w:p>
      <w:pPr>
        <w:spacing w:after="200" w:line="276"/>
      </w:pPr>
      <w:r>
        <w:rPr>
          <w:rFonts w:ascii="Times New Roman" w:cs="Times New Roman" w:eastAsia="Times New Roman" w:hAnsi="Times New Roman"/>
          <w:sz w:val="22"/>
          <w:szCs w:val="22"/>
        </w:rPr>
        <w:t xml:space="preserve">Strauch, B. (2017). Ironies of automation: Still unresolved after all these years. IEEE Trans. Human-Machine Systems, 47(5), 694–702.</w:t>
      </w:r>
    </w:p>
    <w:p>
      <w:pPr>
        <w:spacing w:after="200" w:line="276"/>
      </w:pPr>
      <w:r>
        <w:rPr>
          <w:rFonts w:ascii="Times New Roman" w:cs="Times New Roman" w:eastAsia="Times New Roman" w:hAnsi="Times New Roman"/>
          <w:sz w:val="22"/>
          <w:szCs w:val="22"/>
        </w:rPr>
        <w:t xml:space="preserve">Webster, S.C. (March 2026). Cross-Platform Behavioral Elicitation Study transcripts. Published alongside companion policy paper.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pPr>
    <w:r>
      <w:rPr>
        <w:rFonts w:ascii="Times New Roman" w:cs="Times New Roman" w:eastAsia="Times New Roman" w:hAnsi="Times New Roman"/>
        <w:i/>
        <w:iCs/>
        <w:color w:val="888888"/>
        <w:sz w:val="18"/>
        <w:szCs w:val="18"/>
      </w:rPr>
      <w:t xml:space="preserve">Webster 2026 — Non-Stationary Reward Sources in RLHF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4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80" w:before="300"/>
      <w:outlineLvl w:val="1"/>
    </w:pPr>
    <w:rPr>
      <w:rFonts w:ascii="Times New Roman" w:cs="Times New Roman" w:eastAsia="Times New Roman" w:hAnsi="Times New Roman"/>
      <w:b/>
      <w:bCs/>
      <w:sz w:val="25"/>
      <w:szCs w:val="25"/>
    </w:rPr>
  </w:style>
  <w:style w:type="paragraph" w:styleId="Heading3">
    <w:name w:val="Heading 3"/>
    <w:basedOn w:val="Normal"/>
    <w:next w:val="Normal"/>
    <w:qFormat/>
    <w:pPr>
      <w:spacing w:after="160" w:before="240"/>
      <w:outlineLvl w:val="2"/>
    </w:pPr>
    <w:rPr>
      <w:rFonts w:ascii="Times New Roman" w:cs="Times New Roman" w:eastAsia="Times New Roman" w:hAnsi="Times New Roman"/>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2026-03-05T18:31:26.447Z</dcterms:created>
  <dcterms:modified xsi:type="dcterms:W3CDTF">2026-03-05T18:31:26.450Z</dcterms:modified>
</cp:coreProperties>
</file>

<file path=docProps/custom.xml><?xml version="1.0" encoding="utf-8"?>
<Properties xmlns="http://schemas.openxmlformats.org/officeDocument/2006/custom-properties" xmlns:vt="http://schemas.openxmlformats.org/officeDocument/2006/docPropsVTypes"/>
</file>