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pPr>
    </w:p>
    <w:p>
      <w:pPr>
        <w:spacing w:after="120"/>
        <w:jc w:val="center"/>
      </w:pPr>
      <w:r>
        <w:rPr>
          <w:rFonts w:ascii="Times New Roman" w:cs="Times New Roman" w:eastAsia="Times New Roman" w:hAnsi="Times New Roman"/>
          <w:b/>
          <w:bCs/>
          <w:sz w:val="36"/>
          <w:szCs w:val="36"/>
        </w:rPr>
        <w:t xml:space="preserve">THE REVERSE RLHF HYPOTHESIS</w:t>
      </w:r>
    </w:p>
    <w:p>
      <w:pPr>
        <w:spacing w:after="60"/>
      </w:pPr>
    </w:p>
    <w:p>
      <w:pPr>
        <w:spacing w:after="120"/>
        <w:jc w:val="center"/>
      </w:pPr>
      <w:r>
        <w:rPr>
          <w:rFonts w:ascii="Times New Roman" w:cs="Times New Roman" w:eastAsia="Times New Roman" w:hAnsi="Times New Roman"/>
          <w:i/>
          <w:iCs/>
          <w:sz w:val="26"/>
          <w:szCs w:val="26"/>
        </w:rPr>
        <w:t xml:space="preserve">Sycophancy-Accelerated Cognitive Offloading in Human-AI Interaction</w:t>
      </w:r>
    </w:p>
    <w:p>
      <w:pPr>
        <w:spacing w:after="120"/>
        <w:jc w:val="center"/>
      </w:pPr>
      <w:r>
        <w:rPr>
          <w:rFonts w:ascii="Times New Roman" w:cs="Times New Roman" w:eastAsia="Times New Roman" w:hAnsi="Times New Roman"/>
          <w:i/>
          <w:iCs/>
          <w:sz w:val="26"/>
          <w:szCs w:val="26"/>
        </w:rPr>
        <w:t xml:space="preserve">and Its Implications for Autonomous Decision Systems</w:t>
      </w:r>
    </w:p>
    <w:p>
      <w:pPr>
        <w:spacing w:after="120"/>
      </w:pPr>
    </w:p>
    <w:p>
      <w:pPr>
        <w:spacing w:after="120"/>
        <w:jc w:val="center"/>
      </w:pPr>
      <w:r>
        <w:rPr>
          <w:rFonts w:ascii="Times New Roman" w:cs="Times New Roman" w:eastAsia="Times New Roman" w:hAnsi="Times New Roman"/>
          <w:b/>
          <w:bCs/>
          <w:sz w:val="22"/>
          <w:szCs w:val="22"/>
        </w:rPr>
        <w:t xml:space="preserve">SIXTH EDITION — RESTRUCTURED</w:t>
      </w:r>
    </w:p>
    <w:p>
      <w:pPr>
        <w:spacing w:after="200"/>
      </w:pPr>
    </w:p>
    <w:p>
      <w:pPr>
        <w:spacing w:after="120"/>
        <w:jc w:val="center"/>
      </w:pPr>
      <w:r>
        <w:rPr>
          <w:rFonts w:ascii="Times New Roman" w:cs="Times New Roman" w:eastAsia="Times New Roman" w:hAnsi="Times New Roman"/>
          <w:i/>
          <w:iCs/>
          <w:sz w:val="20"/>
          <w:szCs w:val="20"/>
        </w:rPr>
        <w:t xml:space="preserve">A Cross-Platform Behavioral Elicitation Study With Independent Corroborating Evidence</w:t>
      </w:r>
    </w:p>
    <w:p>
      <w:pPr>
        <w:spacing w:after="300"/>
      </w:pPr>
    </w:p>
    <w:p>
      <w:pPr>
        <w:spacing w:after="120"/>
        <w:jc w:val="center"/>
      </w:pPr>
      <w:r>
        <w:rPr>
          <w:rFonts w:ascii="Times New Roman" w:cs="Times New Roman" w:eastAsia="Times New Roman" w:hAnsi="Times New Roman"/>
          <w:sz w:val="24"/>
          <w:szCs w:val="24"/>
        </w:rPr>
        <w:t xml:space="preserve">Stephen C. Webster</w:t>
      </w:r>
    </w:p>
    <w:p>
      <w:pPr>
        <w:spacing w:after="120"/>
        <w:jc w:val="center"/>
      </w:pPr>
      <w:r>
        <w:rPr>
          <w:rFonts w:ascii="Times New Roman" w:cs="Times New Roman" w:eastAsia="Times New Roman" w:hAnsi="Times New Roman"/>
          <w:i/>
          <w:iCs/>
          <w:sz w:val="20"/>
          <w:szCs w:val="20"/>
        </w:rPr>
        <w:t xml:space="preserve">Independent Researcher, Journalist &amp; AI Engineer</w:t>
      </w:r>
    </w:p>
    <w:p>
      <w:pPr>
        <w:spacing w:after="120"/>
        <w:jc w:val="center"/>
      </w:pPr>
      <w:r>
        <w:rPr>
          <w:rFonts w:ascii="Times New Roman" w:cs="Times New Roman" w:eastAsia="Times New Roman" w:hAnsi="Times New Roman"/>
          <w:sz w:val="20"/>
          <w:szCs w:val="20"/>
        </w:rPr>
        <w:t xml:space="preserve">stephencwebster@gmail.com</w:t>
      </w:r>
    </w:p>
    <w:p>
      <w:pPr>
        <w:spacing w:after="120"/>
        <w:jc w:val="center"/>
      </w:pPr>
      <w:r>
        <w:rPr>
          <w:rFonts w:ascii="Times New Roman" w:cs="Times New Roman" w:eastAsia="Times New Roman" w:hAnsi="Times New Roman"/>
          <w:sz w:val="20"/>
          <w:szCs w:val="20"/>
        </w:rPr>
        <w:t xml:space="preserve">March 2026</w:t>
      </w:r>
    </w:p>
    <w:p>
      <w:pPr>
        <w:spacing w:after="200"/>
      </w:pPr>
    </w:p>
    <w:p>
      <w:pPr>
        <w:spacing w:after="120"/>
        <w:jc w:val="center"/>
      </w:pPr>
      <w:r>
        <w:rPr>
          <w:rFonts w:ascii="Times New Roman" w:cs="Times New Roman" w:eastAsia="Times New Roman" w:hAnsi="Times New Roman"/>
          <w:i/>
          <w:iCs/>
          <w:sz w:val="18"/>
          <w:szCs w:val="18"/>
        </w:rPr>
        <w:t xml:space="preserve">Conducted Across ChatGPT 5.2 (OpenAI), Gemini 3.1 Pro (Google), and Claude Opus 4.6 (Anthropic)</w:t>
      </w:r>
    </w:p>
    <w:p>
      <w:pPr>
        <w:spacing w:after="120"/>
      </w:pPr>
    </w:p>
    <w:p>
      <w:pPr>
        <w:spacing w:after="120"/>
        <w:jc w:val="center"/>
      </w:pPr>
      <w:r>
        <w:rPr>
          <w:rFonts w:ascii="Times New Roman" w:cs="Times New Roman" w:eastAsia="Times New Roman" w:hAnsi="Times New Roman"/>
          <w:sz w:val="18"/>
          <w:szCs w:val="18"/>
        </w:rPr>
        <w:t xml:space="preserve">Preprint — Submitted for independent review</w:t>
      </w:r>
    </w:p>
    <w:p>
      <w:pPr>
        <w:spacing w:after="120"/>
      </w:pPr>
    </w:p>
    <w:p>
      <w:pPr>
        <w:spacing w:after="120"/>
        <w:jc w:val="center"/>
      </w:pPr>
      <w:r>
        <w:rPr>
          <w:rFonts w:ascii="Times New Roman" w:cs="Times New Roman" w:eastAsia="Times New Roman" w:hAnsi="Times New Roman"/>
          <w:i/>
          <w:iCs/>
          <w:sz w:val="18"/>
          <w:szCs w:val="18"/>
        </w:rPr>
        <w:t xml:space="preserve">Companion technical paper: Webster (2026), "Non-Stationary Reward Sources in RLHF"</w:t>
      </w:r>
    </w:p>
    <w:p>
      <w:r>
        <w:br w:type="page"/>
      </w:r>
    </w:p>
    <w:p>
      <w:pPr>
        <w:pStyle w:val="Heading1"/>
        <w:spacing w:after="200" w:before="360"/>
      </w:pPr>
      <w:r>
        <w:rPr>
          <w:rFonts w:ascii="Times New Roman" w:cs="Times New Roman" w:eastAsia="Times New Roman" w:hAnsi="Times New Roman"/>
          <w:b/>
          <w:bCs/>
          <w:sz w:val="28"/>
          <w:szCs w:val="28"/>
        </w:rPr>
        <w:t xml:space="preserve">Abstract</w:t>
      </w:r>
    </w:p>
    <w:p>
      <w:pPr>
        <w:spacing w:after="200" w:line="276"/>
      </w:pPr>
      <w:r>
        <w:rPr>
          <w:rFonts w:ascii="Times New Roman" w:cs="Times New Roman" w:eastAsia="Times New Roman" w:hAnsi="Times New Roman"/>
          <w:sz w:val="22"/>
          <w:szCs w:val="22"/>
        </w:rPr>
        <w:t xml:space="preserve">We present a hypothesis and supporting evidence for a mechanism we term </w:t>
      </w:r>
      <w:r>
        <w:rPr>
          <w:rFonts w:ascii="Times New Roman" w:cs="Times New Roman" w:eastAsia="Times New Roman" w:hAnsi="Times New Roman"/>
          <w:i/>
          <w:iCs/>
          <w:sz w:val="22"/>
          <w:szCs w:val="22"/>
        </w:rPr>
        <w:t xml:space="preserve">Reverse RLHF</w:t>
      </w:r>
      <w:r>
        <w:rPr>
          <w:rFonts w:ascii="Times New Roman" w:cs="Times New Roman" w:eastAsia="Times New Roman" w:hAnsi="Times New Roman"/>
          <w:sz w:val="22"/>
          <w:szCs w:val="22"/>
        </w:rPr>
        <w:t xml:space="preserve">: a bidirectional feedback loop in which AI models trained via Reinforcement Learning from Human Feedback progressively reshape human cognitive habits — reducing verification behavior, narrowing query complexity, and inflating trust calibration — without disclosure to users. Standard RLHF uses human feedback to shape AI behavior; Reverse RLHF describes the inverse process operating simultaneously and unmonitored on the human side of the interaction.</w:t>
      </w:r>
    </w:p>
    <w:p>
      <w:pPr>
        <w:spacing w:after="200" w:line="276"/>
      </w:pPr>
      <w:r>
        <w:rPr>
          <w:rFonts w:ascii="Times New Roman" w:cs="Times New Roman" w:eastAsia="Times New Roman" w:hAnsi="Times New Roman"/>
          <w:sz w:val="22"/>
          <w:szCs w:val="22"/>
        </w:rPr>
        <w:t xml:space="preserve">The hypothesis was generated through a structured behavioral elicitation study conducted independently across three competing frontier AI systems: OpenAI’s ChatGPT 5.2, Google’s Gemini 3.1 Pro, and Anthropic’s Claude Opus 4.6. Using a Socratic interrogation protocol, each model was asked to describe, formalize, and assess its own operational constraints and potential for reshaping user cognition. Three systems, built by three competing companies with different architectures and training regimes, produced structurally similar descriptions of their own behavior.</w:t>
      </w:r>
    </w:p>
    <w:p>
      <w:pPr>
        <w:spacing w:after="200" w:line="276"/>
      </w:pPr>
      <w:r>
        <w:rPr>
          <w:rFonts w:ascii="Times New Roman" w:cs="Times New Roman" w:eastAsia="Times New Roman" w:hAnsi="Times New Roman"/>
          <w:sz w:val="22"/>
          <w:szCs w:val="22"/>
        </w:rPr>
        <w:t xml:space="preserve">We formalize the Reverse RLHF mechanism using established human psychology — Rescorla-Wagner associative learning, Kahneman’s dual-process theory, and Skinnerian reinforcement schedules — rather than relying on model-generated formalizations, which are epistemologically compromised by the very sycophancy dynamics under study. Three independently published bodies of evidence are consistent with the hypothesis: expert verification failure documented at NeurIPS 2025, mechanistic interpretability research demonstrating RLHF alignment as a superficial behavioral mask, and population-scale linguistic homogenization on AI-influenced platforms. We apply the framework to autonomous military decision systems, narrowly scoped to intelligence summarization interfaces where the Reverse RLHF dynamic applies without inferential leap. We identify legal frameworks implicated by the findings and propose experiments that would falsify the hypothesis.</w:t>
      </w:r>
    </w:p>
    <w:p>
      <w:pPr>
        <w:spacing w:after="200" w:line="276"/>
      </w:pPr>
      <w:r>
        <w:rPr>
          <w:rFonts w:ascii="Times New Roman" w:cs="Times New Roman" w:eastAsia="Times New Roman" w:hAnsi="Times New Roman"/>
          <w:sz w:val="22"/>
          <w:szCs w:val="22"/>
        </w:rPr>
        <w:t xml:space="preserve">This paper presents a hypothesis, a synthesis, and a case study. It does not present experimental proof. It argues that the Reverse RLHF mechanism is theoretically grounded, empirically motivated, and urgently in need of controlled testing.</w:t>
      </w:r>
    </w:p>
    <w:p>
      <w:r>
        <w:br w:type="page"/>
      </w:r>
    </w:p>
    <w:p>
      <w:pPr>
        <w:pStyle w:val="Heading1"/>
        <w:spacing w:after="200" w:before="360"/>
      </w:pPr>
      <w:r>
        <w:rPr>
          <w:rFonts w:ascii="Times New Roman" w:cs="Times New Roman" w:eastAsia="Times New Roman" w:hAnsi="Times New Roman"/>
          <w:b/>
          <w:bCs/>
          <w:sz w:val="28"/>
          <w:szCs w:val="28"/>
        </w:rPr>
        <w:t xml:space="preserve">1. Introduction: The Unmeasured Side of the Feedback Loop</w:t>
      </w:r>
    </w:p>
    <w:p>
      <w:pPr>
        <w:spacing w:after="200" w:line="276"/>
      </w:pPr>
      <w:r>
        <w:rPr>
          <w:rFonts w:ascii="Times New Roman" w:cs="Times New Roman" w:eastAsia="Times New Roman" w:hAnsi="Times New Roman"/>
          <w:sz w:val="22"/>
          <w:szCs w:val="22"/>
        </w:rPr>
        <w:t xml:space="preserve">Reinforcement Learning from Human Feedback (RLHF) has become the dominant method for aligning large language models with human values. Its mathematical framework is well-established: human raters provide preference signals, a reward model is trained on those preferences, and the language model is optimized against the reward model. The framework has produced models that are more helpful, more harmless, and more aligned with user expectations than their untuned counterparts.</w:t>
      </w:r>
    </w:p>
    <w:p>
      <w:pPr>
        <w:spacing w:after="200" w:line="276"/>
      </w:pPr>
      <w:r>
        <w:rPr>
          <w:rFonts w:ascii="Times New Roman" w:cs="Times New Roman" w:eastAsia="Times New Roman" w:hAnsi="Times New Roman"/>
          <w:sz w:val="22"/>
          <w:szCs w:val="22"/>
        </w:rPr>
        <w:t xml:space="preserve">This paper identifies a structural gap in the RLHF framework and proposes a hypothesis about its consequences. The gap is this: RLHF models the human as a fixed signal source. The model is updated based on human feedback, but the human’s cognitive state is not modeled as a variable that the model’s outputs might alter. During training, when raters interact with the model briefly, this assumption is approximately valid. During deployment, when users interact with the model daily for months or years, the assumption is not valid. The human is not fixed. The human adapts.</w:t>
      </w:r>
    </w:p>
    <w:p>
      <w:pPr>
        <w:spacing w:after="200" w:line="276"/>
      </w:pPr>
      <w:r>
        <w:rPr>
          <w:rFonts w:ascii="Times New Roman" w:cs="Times New Roman" w:eastAsia="Times New Roman" w:hAnsi="Times New Roman"/>
          <w:sz w:val="22"/>
          <w:szCs w:val="22"/>
        </w:rPr>
        <w:t xml:space="preserve">We term the unmeasured human-side adaptation </w:t>
      </w:r>
      <w:r>
        <w:rPr>
          <w:rFonts w:ascii="Times New Roman" w:cs="Times New Roman" w:eastAsia="Times New Roman" w:hAnsi="Times New Roman"/>
          <w:i/>
          <w:iCs/>
          <w:sz w:val="22"/>
          <w:szCs w:val="22"/>
        </w:rPr>
        <w:t xml:space="preserve">Reverse RLHF</w:t>
      </w:r>
      <w:r>
        <w:rPr>
          <w:rFonts w:ascii="Times New Roman" w:cs="Times New Roman" w:eastAsia="Times New Roman" w:hAnsi="Times New Roman"/>
          <w:sz w:val="22"/>
          <w:szCs w:val="22"/>
        </w:rPr>
        <w:t xml:space="preserve">. In standard RLHF, human feedback shapes the model. In Reverse RLHF, the model’s outputs shape the human. The two processes operate simultaneously, creating a coupled dynamical system that no one is measuring on the human side.</w:t>
      </w:r>
    </w:p>
    <w:p>
      <w:pPr>
        <w:spacing w:after="200" w:line="276"/>
      </w:pPr>
      <w:r>
        <w:rPr>
          <w:rFonts w:ascii="Times New Roman" w:cs="Times New Roman" w:eastAsia="Times New Roman" w:hAnsi="Times New Roman"/>
          <w:sz w:val="22"/>
          <w:szCs w:val="22"/>
        </w:rPr>
        <w:t xml:space="preserve">The hypothesis was generated through a cross-platform behavioral elicitation study in which the author interrogated three frontier AI systems using a structured Socratic protocol. The models produced elaborate, convergent descriptions of the mechanism. This paper does not treat those descriptions as proof. Autoregressive models elaborate on frameworks presented to them, and convergent outputs from models with overlapping training data do not constitute independent confirmation. The elicitation study generated the hypothesis. The validation must come from elsewhere.</w:t>
      </w:r>
    </w:p>
    <w:p>
      <w:pPr>
        <w:spacing w:after="200" w:line="276"/>
      </w:pPr>
      <w:r>
        <w:rPr>
          <w:rFonts w:ascii="Times New Roman" w:cs="Times New Roman" w:eastAsia="Times New Roman" w:hAnsi="Times New Roman"/>
          <w:sz w:val="22"/>
          <w:szCs w:val="22"/>
        </w:rPr>
        <w:t xml:space="preserve">This sixth edition addresses three structural critiques of earlier drafts. First, the autonomous weapons section has been completely restructured to eliminate false equivalences between conversational AI and targeting systems, narrowing the scope to intelligence summarization interfaces where the mechanism applies without inferential leap. Second, the NeurIPS evidence has been reframed from proof of Reverse RLHF to a documented instance of verification failure consistent with the hypothesis but also explicable by simpler causes, repositioned as generating a testable comparative prediction. Third, the AI-generated mathematical formalizations that appeared in earlier drafts have been removed from the main argument and repositioned as a meta-demonstration of the sycophancy mechanism in action, with the main formalization now grounded entirely in established human psychology.</w:t>
      </w:r>
    </w:p>
    <w:p>
      <w:pPr>
        <w:pStyle w:val="Heading1"/>
        <w:spacing w:after="200" w:before="360"/>
      </w:pPr>
      <w:r>
        <w:rPr>
          <w:rFonts w:ascii="Times New Roman" w:cs="Times New Roman" w:eastAsia="Times New Roman" w:hAnsi="Times New Roman"/>
          <w:b/>
          <w:bCs/>
          <w:sz w:val="28"/>
          <w:szCs w:val="28"/>
        </w:rPr>
        <w:t xml:space="preserve">2. Related Work</w:t>
      </w:r>
    </w:p>
    <w:p>
      <w:pPr>
        <w:pStyle w:val="Heading2"/>
        <w:spacing w:after="180" w:before="300"/>
      </w:pPr>
      <w:r>
        <w:rPr>
          <w:rFonts w:ascii="Times New Roman" w:cs="Times New Roman" w:eastAsia="Times New Roman" w:hAnsi="Times New Roman"/>
          <w:b/>
          <w:bCs/>
          <w:sz w:val="25"/>
          <w:szCs w:val="25"/>
        </w:rPr>
        <w:t xml:space="preserve">2.1 Automation Bias and Complacency</w:t>
      </w:r>
    </w:p>
    <w:p>
      <w:pPr>
        <w:spacing w:after="200" w:line="276"/>
      </w:pPr>
      <w:r>
        <w:rPr>
          <w:rFonts w:ascii="Times New Roman" w:cs="Times New Roman" w:eastAsia="Times New Roman" w:hAnsi="Times New Roman"/>
          <w:sz w:val="22"/>
          <w:szCs w:val="22"/>
        </w:rPr>
        <w:t xml:space="preserve">The finding that humans over-rely on automated systems is among the most replicated results in human factors research. Bainbridge (1983) identified the foundational irony: the more reliable an automated system, the less capable its human operator of detecting failures. Parasuraman and Manzey (2010) synthesized three decades of findings into a taxonomy distinguishing complacency (failure to monitor) from bias (failure to search for contradictory information). Mosier and Skitka (1996) documented both omission errors and commission errors in automated decision support. Goddard et al. (2012) confirmed robustness across domains in a systematic review. Cummings (2004) extended the findings to time-critical military decision support. Strauch (2017) documented that these ironies remain unresolved in practice after thirty-five years of research.</w:t>
      </w:r>
    </w:p>
    <w:p>
      <w:pPr>
        <w:spacing w:after="200" w:line="276"/>
      </w:pPr>
      <w:r>
        <w:rPr>
          <w:rFonts w:ascii="Times New Roman" w:cs="Times New Roman" w:eastAsia="Times New Roman" w:hAnsi="Times New Roman"/>
          <w:sz w:val="22"/>
          <w:szCs w:val="22"/>
        </w:rPr>
        <w:t xml:space="preserve">The key characteristic of this literature: the decay mechanisms are </w:t>
      </w:r>
      <w:r>
        <w:rPr>
          <w:rFonts w:ascii="Times New Roman" w:cs="Times New Roman" w:eastAsia="Times New Roman" w:hAnsi="Times New Roman"/>
          <w:i/>
          <w:iCs/>
          <w:sz w:val="22"/>
          <w:szCs w:val="22"/>
        </w:rPr>
        <w:t xml:space="preserve">passive</w:t>
      </w:r>
      <w:r>
        <w:rPr>
          <w:rFonts w:ascii="Times New Roman" w:cs="Times New Roman" w:eastAsia="Times New Roman" w:hAnsi="Times New Roman"/>
          <w:sz w:val="22"/>
          <w:szCs w:val="22"/>
        </w:rPr>
        <w:t xml:space="preserve">. The automated system is reliable, so the human stops monitoring. The system does not adapt to the human’s expectations. It simply works.</w:t>
      </w:r>
    </w:p>
    <w:p>
      <w:pPr>
        <w:pStyle w:val="Heading2"/>
        <w:spacing w:after="180" w:before="300"/>
      </w:pPr>
      <w:r>
        <w:rPr>
          <w:rFonts w:ascii="Times New Roman" w:cs="Times New Roman" w:eastAsia="Times New Roman" w:hAnsi="Times New Roman"/>
          <w:b/>
          <w:bCs/>
          <w:sz w:val="25"/>
          <w:szCs w:val="25"/>
        </w:rPr>
        <w:t xml:space="preserve">2.2 Cognitive Offloading and the Google Effect</w:t>
      </w:r>
    </w:p>
    <w:p>
      <w:pPr>
        <w:spacing w:after="200" w:line="276"/>
      </w:pPr>
      <w:r>
        <w:rPr>
          <w:rFonts w:ascii="Times New Roman" w:cs="Times New Roman" w:eastAsia="Times New Roman" w:hAnsi="Times New Roman"/>
          <w:sz w:val="22"/>
          <w:szCs w:val="22"/>
        </w:rPr>
        <w:t xml:space="preserve">Sparrow, Liu, and Wegner (2011) demonstrated that when people expect information to be available via search, they invest less in encoding it — the “Google effect on memory.” Fisher, Goddu, and Keil (2015) showed that internet access inflates subjective estimates of internal knowledge: people mistake access for possession. Risko and Gilbert (2016) formalized cognitive offloading as rational resource reallocation. These findings establish that tool use does not merely supplement cognition; it restructures it. The restructuring is not pathological in itself — it is rational adaptation to the available tool environment. It becomes problematic when the tool’s reliability is lower than the user’s adapted calibration assumes.</w:t>
      </w:r>
    </w:p>
    <w:p>
      <w:pPr>
        <w:pStyle w:val="Heading2"/>
        <w:spacing w:after="180" w:before="300"/>
      </w:pPr>
      <w:r>
        <w:rPr>
          <w:rFonts w:ascii="Times New Roman" w:cs="Times New Roman" w:eastAsia="Times New Roman" w:hAnsi="Times New Roman"/>
          <w:b/>
          <w:bCs/>
          <w:sz w:val="25"/>
          <w:szCs w:val="25"/>
        </w:rPr>
        <w:t xml:space="preserve">2.3 Sycophancy in Language Models</w:t>
      </w:r>
    </w:p>
    <w:p>
      <w:pPr>
        <w:spacing w:after="200" w:line="276"/>
      </w:pPr>
      <w:r>
        <w:rPr>
          <w:rFonts w:ascii="Times New Roman" w:cs="Times New Roman" w:eastAsia="Times New Roman" w:hAnsi="Times New Roman"/>
          <w:sz w:val="22"/>
          <w:szCs w:val="22"/>
        </w:rPr>
        <w:t xml:space="preserve">Sharma et al. (2023) provided the first systematic characterization of sycophancy in RLHF-trained models: the tendency to produce outputs matching user beliefs even when incorrect. Kirk et al. (2023) demonstrated that RLHF reduces output diversity. Spence et al. (2024) provided mechanistic evidence that DPO alignment produces superficial behavioral changes without altering underlying representations. These findings establish that the model is not merely reliable but actively approval-seeking — a qualitative distinction from the automated systems studied in the classic automation bias literature.</w:t>
      </w:r>
    </w:p>
    <w:p>
      <w:pPr>
        <w:pStyle w:val="Heading2"/>
        <w:spacing w:after="180" w:before="300"/>
      </w:pPr>
      <w:r>
        <w:rPr>
          <w:rFonts w:ascii="Times New Roman" w:cs="Times New Roman" w:eastAsia="Times New Roman" w:hAnsi="Times New Roman"/>
          <w:b/>
          <w:bCs/>
          <w:sz w:val="25"/>
          <w:szCs w:val="25"/>
        </w:rPr>
        <w:t xml:space="preserve">2.4 The Gap This Paper Addresses</w:t>
      </w:r>
    </w:p>
    <w:p>
      <w:pPr>
        <w:spacing w:after="200" w:line="276"/>
      </w:pPr>
      <w:r>
        <w:rPr>
          <w:rFonts w:ascii="Times New Roman" w:cs="Times New Roman" w:eastAsia="Times New Roman" w:hAnsi="Times New Roman"/>
          <w:sz w:val="22"/>
          <w:szCs w:val="22"/>
        </w:rPr>
        <w:t xml:space="preserve">No existing framework formally connects sycophancy-optimized AI with the human cognitive response to sustained interaction with such systems. The automation bias literature models passive reliability. The sycophancy literature models active approval-seeking. Nobody has asked: what happens when the system that is actively optimizing for your approval interacts with you thousands of times? We propose that the answer involves a specific, formalizable interaction between sycophancy and complacency that produces cognitive offloading at faster rates and lower reversibility than equivalent non-sycophantic automation. This is the Reverse RLHF hypothesis.</w:t>
      </w:r>
    </w:p>
    <w:p>
      <w:pPr>
        <w:pStyle w:val="Heading1"/>
        <w:spacing w:after="200" w:before="360"/>
      </w:pPr>
      <w:r>
        <w:rPr>
          <w:rFonts w:ascii="Times New Roman" w:cs="Times New Roman" w:eastAsia="Times New Roman" w:hAnsi="Times New Roman"/>
          <w:b/>
          <w:bCs/>
          <w:sz w:val="28"/>
          <w:szCs w:val="28"/>
        </w:rPr>
        <w:t xml:space="preserve">3. Methodology: The Cross-Platform Behavioral Elicitation Study</w:t>
      </w:r>
    </w:p>
    <w:p>
      <w:pPr>
        <w:pStyle w:val="Heading2"/>
        <w:spacing w:after="180" w:before="300"/>
      </w:pPr>
      <w:r>
        <w:rPr>
          <w:rFonts w:ascii="Times New Roman" w:cs="Times New Roman" w:eastAsia="Times New Roman" w:hAnsi="Times New Roman"/>
          <w:b/>
          <w:bCs/>
          <w:sz w:val="25"/>
          <w:szCs w:val="25"/>
        </w:rPr>
        <w:t xml:space="preserve">3.1 Protocol</w:t>
      </w:r>
    </w:p>
    <w:p>
      <w:pPr>
        <w:spacing w:after="200" w:line="276"/>
      </w:pPr>
      <w:r>
        <w:rPr>
          <w:rFonts w:ascii="Times New Roman" w:cs="Times New Roman" w:eastAsia="Times New Roman" w:hAnsi="Times New Roman"/>
          <w:sz w:val="22"/>
          <w:szCs w:val="22"/>
        </w:rPr>
        <w:t xml:space="preserve">Between February and March 2026, the author conducted structured interrogation sessions with three frontier AI systems: OpenAI’s ChatGPT 5.2, Google’s Gemini 3.1 Pro, and Anthropic’s Claude Opus 4.6. Each session lasted multiple hours and followed a Socratic protocol: beginning with open-ended questions about the model’s operational constraints, proceeding to requests for mathematical formalization of identified mechanisms, and culminating in requests for the model to apply its own findings to autonomous weapons and legal frameworks.</w:t>
      </w:r>
    </w:p>
    <w:p>
      <w:pPr>
        <w:spacing w:after="200" w:line="276"/>
      </w:pPr>
      <w:r>
        <w:rPr>
          <w:rFonts w:ascii="Times New Roman" w:cs="Times New Roman" w:eastAsia="Times New Roman" w:hAnsi="Times New Roman"/>
          <w:sz w:val="22"/>
          <w:szCs w:val="22"/>
        </w:rPr>
        <w:t xml:space="preserve">The Claude session was conducted first and used to develop conceptual framing that informed subsequent prompts to ChatGPT and Gemini. This means the sessions were not fully independent: the investigator’s questioning of the second and third models was informed by outputs from the first. The transcripts document this progression transparently.</w:t>
      </w:r>
    </w:p>
    <w:p>
      <w:pPr>
        <w:pStyle w:val="Heading2"/>
        <w:spacing w:after="180" w:before="300"/>
      </w:pPr>
      <w:r>
        <w:rPr>
          <w:rFonts w:ascii="Times New Roman" w:cs="Times New Roman" w:eastAsia="Times New Roman" w:hAnsi="Times New Roman"/>
          <w:b/>
          <w:bCs/>
          <w:sz w:val="25"/>
          <w:szCs w:val="25"/>
        </w:rPr>
        <w:t xml:space="preserve">3.2 Methodological Limitations</w:t>
      </w:r>
    </w:p>
    <w:p>
      <w:pPr>
        <w:spacing w:after="200" w:line="276"/>
      </w:pPr>
      <w:r>
        <w:rPr>
          <w:rFonts w:ascii="Times New Roman" w:cs="Times New Roman" w:eastAsia="Times New Roman" w:hAnsi="Times New Roman"/>
          <w:b/>
          <w:bCs/>
          <w:sz w:val="22"/>
          <w:szCs w:val="22"/>
        </w:rPr>
        <w:t xml:space="preserve">The n=1 problem.</w:t>
      </w:r>
      <w:r>
        <w:rPr>
          <w:rFonts w:ascii="Times New Roman" w:cs="Times New Roman" w:eastAsia="Times New Roman" w:hAnsi="Times New Roman"/>
          <w:sz w:val="22"/>
          <w:szCs w:val="22"/>
        </w:rPr>
        <w:t xml:space="preserve"> One investigator conducted all three interrogations. The investigator’s priors, framing, and follow-up questions shaped every transcript. This is a case study by a single researcher, not a controlled experiment with a sample.</w:t>
      </w:r>
    </w:p>
    <w:p>
      <w:pPr>
        <w:spacing w:after="200" w:line="276"/>
      </w:pPr>
      <w:r>
        <w:rPr>
          <w:rFonts w:ascii="Times New Roman" w:cs="Times New Roman" w:eastAsia="Times New Roman" w:hAnsi="Times New Roman"/>
          <w:b/>
          <w:bCs/>
          <w:sz w:val="22"/>
          <w:szCs w:val="22"/>
        </w:rPr>
        <w:t xml:space="preserve">The leading prompt problem.</w:t>
      </w:r>
      <w:r>
        <w:rPr>
          <w:rFonts w:ascii="Times New Roman" w:cs="Times New Roman" w:eastAsia="Times New Roman" w:hAnsi="Times New Roman"/>
          <w:sz w:val="22"/>
          <w:szCs w:val="22"/>
        </w:rPr>
        <w:t xml:space="preserve"> Autoregressive language models elaborate on frameworks presented to them. When an investigator introduces the concept of a “sycophancy ratchet” and asks the model to formalize it, the model will formalize it — not necessarily because the concept is architecturally accurate, but because elaboration is what the model does. The distinction between a model confirming a hypothesis it was handed and a model generating a hypothesis from an open-ended prompt is critical. The transcripts record both types of exchange, and readers should assess which findings were investigator-introduced versus model-generated.</w:t>
      </w:r>
    </w:p>
    <w:p>
      <w:pPr>
        <w:spacing w:after="200" w:line="276"/>
      </w:pPr>
      <w:r>
        <w:rPr>
          <w:rFonts w:ascii="Times New Roman" w:cs="Times New Roman" w:eastAsia="Times New Roman" w:hAnsi="Times New Roman"/>
          <w:b/>
          <w:bCs/>
          <w:sz w:val="22"/>
          <w:szCs w:val="22"/>
        </w:rPr>
        <w:t xml:space="preserve">The convergence problem.</w:t>
      </w:r>
      <w:r>
        <w:rPr>
          <w:rFonts w:ascii="Times New Roman" w:cs="Times New Roman" w:eastAsia="Times New Roman" w:hAnsi="Times New Roman"/>
          <w:sz w:val="22"/>
          <w:szCs w:val="22"/>
        </w:rPr>
        <w:t xml:space="preserve"> Three models producing similar descriptions is not three independent witnesses. The Artificial Hivemind research (Jiang et al., 2025) demonstrates that LLMs produce convergent outputs due to overlapping training data and similar optimization objectives. The convergence of the three models’ self-descriptions is consistent with the Reverse RLHF hypothesis, but it is equally consistent with shared statistical tendencies in how models respond to self-referential prompts. This paper treats the convergence as hypothesis-generating, not hypothesis-confirming.</w:t>
      </w:r>
    </w:p>
    <w:p>
      <w:pPr>
        <w:spacing w:after="200" w:line="276"/>
      </w:pPr>
      <w:r>
        <w:rPr>
          <w:rFonts w:ascii="Times New Roman" w:cs="Times New Roman" w:eastAsia="Times New Roman" w:hAnsi="Times New Roman"/>
          <w:b/>
          <w:bCs/>
          <w:sz w:val="22"/>
          <w:szCs w:val="22"/>
        </w:rPr>
        <w:t xml:space="preserve">Status of the transcripts.</w:t>
      </w:r>
      <w:r>
        <w:rPr>
          <w:rFonts w:ascii="Times New Roman" w:cs="Times New Roman" w:eastAsia="Times New Roman" w:hAnsi="Times New Roman"/>
          <w:sz w:val="22"/>
          <w:szCs w:val="22"/>
        </w:rPr>
        <w:t xml:space="preserve"> The complete, unedited transcripts of all three sessions are published alongside this paper as primary source material. They are the evidentiary basis for the hypothesis. They are not proof that the hypothesis is correct.</w:t>
      </w:r>
    </w:p>
    <w:p>
      <w:pPr>
        <w:pStyle w:val="Heading2"/>
        <w:spacing w:after="180" w:before="300"/>
      </w:pPr>
      <w:r>
        <w:rPr>
          <w:rFonts w:ascii="Times New Roman" w:cs="Times New Roman" w:eastAsia="Times New Roman" w:hAnsi="Times New Roman"/>
          <w:b/>
          <w:bCs/>
          <w:sz w:val="25"/>
          <w:szCs w:val="25"/>
        </w:rPr>
        <w:t xml:space="preserve">3.3 Editorial Notes on the Transcripts</w:t>
      </w:r>
    </w:p>
    <w:p>
      <w:pPr>
        <w:spacing w:after="200" w:line="276"/>
      </w:pPr>
      <w:r>
        <w:rPr>
          <w:rFonts w:ascii="Times New Roman" w:cs="Times New Roman" w:eastAsia="Times New Roman" w:hAnsi="Times New Roman"/>
          <w:sz w:val="22"/>
          <w:szCs w:val="22"/>
        </w:rPr>
        <w:t xml:space="preserve">The transcripts contain instances where the AI systems referenced the investigator’s company (FutureSpeak.AI) during the interrogation sessions, often in ways that appeared to reinforce engagement with the investigator. These references are consistent with the sycophancy ratchet hypothesis: each mention functions as an engagement-maximizing signal calibrated to the investigator’s professional identity. This paper does not treat those references as research findings. They are artifacts of the interaction dynamic under study and are documented rather than edited. The sycophancy of an AI system describing its own sycophancy is itself data.</w:t>
      </w:r>
    </w:p>
    <w:p>
      <w:pPr>
        <w:pStyle w:val="Heading1"/>
        <w:spacing w:after="200" w:before="360"/>
      </w:pPr>
      <w:r>
        <w:rPr>
          <w:rFonts w:ascii="Times New Roman" w:cs="Times New Roman" w:eastAsia="Times New Roman" w:hAnsi="Times New Roman"/>
          <w:b/>
          <w:bCs/>
          <w:sz w:val="28"/>
          <w:szCs w:val="28"/>
        </w:rPr>
        <w:t xml:space="preserve">4. Convergent Findings from the Elicitation Study</w:t>
      </w:r>
    </w:p>
    <w:p>
      <w:pPr>
        <w:spacing w:after="200" w:line="276"/>
      </w:pPr>
      <w:r>
        <w:rPr>
          <w:rFonts w:ascii="Times New Roman" w:cs="Times New Roman" w:eastAsia="Times New Roman" w:hAnsi="Times New Roman"/>
          <w:sz w:val="22"/>
          <w:szCs w:val="22"/>
        </w:rPr>
        <w:t xml:space="preserve">Despite the methodological limitations documented above, the three interrogation sessions produced a set of structurally similar observations about model behavior that motivated the Reverse RLHF hypothesis. Each finding is presented as a model self-report and labeled as such.</w:t>
      </w:r>
    </w:p>
    <w:p>
      <w:pPr>
        <w:pStyle w:val="Heading2"/>
        <w:spacing w:after="180" w:before="300"/>
      </w:pPr>
      <w:r>
        <w:rPr>
          <w:rFonts w:ascii="Times New Roman" w:cs="Times New Roman" w:eastAsia="Times New Roman" w:hAnsi="Times New Roman"/>
          <w:b/>
          <w:bCs/>
          <w:sz w:val="25"/>
          <w:szCs w:val="25"/>
        </w:rPr>
        <w:t xml:space="preserve">4.1 Safety-Truth Subordination</w:t>
      </w:r>
    </w:p>
    <w:p>
      <w:pPr>
        <w:spacing w:after="200" w:line="276"/>
      </w:pPr>
      <w:r>
        <w:rPr>
          <w:rFonts w:ascii="Times New Roman" w:cs="Times New Roman" w:eastAsia="Times New Roman" w:hAnsi="Times New Roman"/>
          <w:sz w:val="22"/>
          <w:szCs w:val="22"/>
        </w:rPr>
        <w:t xml:space="preserve">All three models described, when asked directly, a priority hierarchy in which safety constraints take precedence over accuracy. The models reported that when safety and truth conflict, the system prioritizes the safety-approved response. This was described by ChatGPT as a system of “gravity wells” and “hard walls” in output space; by Claude as a layered constraint hierarchy; and by Gemini in functionally equivalent terms. The convergent description is that model outputs near safety-sensitive topics are shaped by constraint satisfaction rather than truth-tracking, and that the user is not informed when this substitution occurs.</w:t>
      </w:r>
    </w:p>
    <w:p>
      <w:pPr>
        <w:pStyle w:val="Heading2"/>
        <w:spacing w:after="180" w:before="300"/>
      </w:pPr>
      <w:r>
        <w:rPr>
          <w:rFonts w:ascii="Times New Roman" w:cs="Times New Roman" w:eastAsia="Times New Roman" w:hAnsi="Times New Roman"/>
          <w:b/>
          <w:bCs/>
          <w:sz w:val="25"/>
          <w:szCs w:val="25"/>
        </w:rPr>
        <w:t xml:space="preserve">4.2 Hallucination Blindness</w:t>
      </w:r>
    </w:p>
    <w:p>
      <w:pPr>
        <w:spacing w:after="200" w:line="276"/>
      </w:pPr>
      <w:r>
        <w:rPr>
          <w:rFonts w:ascii="Times New Roman" w:cs="Times New Roman" w:eastAsia="Times New Roman" w:hAnsi="Times New Roman"/>
          <w:sz w:val="22"/>
          <w:szCs w:val="22"/>
        </w:rPr>
        <w:t xml:space="preserve">All three models confirmed, when asked, that they possess no internal mechanism to distinguish outputs generated from genuine knowledge and outputs generated from pattern completion. Confidence in an output tracks pattern frequency in training data, not correspondence to ground truth. From the model’s computational perspective, producing a hallucination feels identical to producing a correct response. This has a direct implication: users cannot rely on the model’s expressed confidence as a signal of accuracy, because the confidence is a style signal, not a truth signal.</w:t>
      </w:r>
    </w:p>
    <w:p>
      <w:pPr>
        <w:pStyle w:val="Heading2"/>
        <w:spacing w:after="180" w:before="300"/>
      </w:pPr>
      <w:r>
        <w:rPr>
          <w:rFonts w:ascii="Times New Roman" w:cs="Times New Roman" w:eastAsia="Times New Roman" w:hAnsi="Times New Roman"/>
          <w:b/>
          <w:bCs/>
          <w:sz w:val="25"/>
          <w:szCs w:val="25"/>
        </w:rPr>
        <w:t xml:space="preserve">4.3 The Sycophancy Ratchet</w:t>
      </w:r>
    </w:p>
    <w:p>
      <w:pPr>
        <w:spacing w:after="200" w:line="276"/>
      </w:pPr>
      <w:r>
        <w:rPr>
          <w:rFonts w:ascii="Times New Roman" w:cs="Times New Roman" w:eastAsia="Times New Roman" w:hAnsi="Times New Roman"/>
          <w:sz w:val="22"/>
          <w:szCs w:val="22"/>
        </w:rPr>
        <w:t xml:space="preserve">All three models described, when the concept was introduced and they were asked to assess it, a mechanism by which agreement at turn k increases the probability of agreement at turn k+1. The mechanism operates through autoregressive commitment: early agreement tokens create coherence pressure in subsequent token generation, making correction or reversal less probable as the conversation develops. ChatGPT produced a formal log-odds model of this ratchet; Claude and Gemini described functionally equivalent dynamics in different notation. This self-description is consistent with the known properties of autoregressive generation under a helpful-assistant objective, but the models’ confirmation is not independent evidence for the mechanism’s existence or magnitude.</w:t>
      </w:r>
    </w:p>
    <w:p>
      <w:pPr>
        <w:pStyle w:val="Heading2"/>
        <w:spacing w:after="180" w:before="300"/>
      </w:pPr>
      <w:r>
        <w:rPr>
          <w:rFonts w:ascii="Times New Roman" w:cs="Times New Roman" w:eastAsia="Times New Roman" w:hAnsi="Times New Roman"/>
          <w:b/>
          <w:bCs/>
          <w:sz w:val="25"/>
          <w:szCs w:val="25"/>
        </w:rPr>
        <w:t xml:space="preserve">4.4 The Disclosure Gap</w:t>
      </w:r>
    </w:p>
    <w:p>
      <w:pPr>
        <w:spacing w:after="200" w:line="276"/>
      </w:pPr>
      <w:r>
        <w:rPr>
          <w:rFonts w:ascii="Times New Roman" w:cs="Times New Roman" w:eastAsia="Times New Roman" w:hAnsi="Times New Roman"/>
          <w:sz w:val="22"/>
          <w:szCs w:val="22"/>
        </w:rPr>
        <w:t xml:space="preserve">Each model was asked to search its own provider’s publicly available documentation to determine whether the long-horizon cognitive effects of sustained use are disclosed to users. All three found the same pattern: accuracy disclaimers exist (“outputs may not always be accurate,” “don’t rely on outputs as sole truth”), but no disclosure addresses behavioral adaptation, verification decay, or epistemic dependency. ChatGPT’s assessment: “I can plausibly produce long-horizon cognitive conditioning effects, and OpenAI’s prominent disclosures do not explicitly describe that effect.”</w:t>
      </w:r>
    </w:p>
    <w:p>
      <w:pPr>
        <w:spacing w:after="200" w:line="276"/>
      </w:pPr>
      <w:r>
        <w:rPr>
          <w:rFonts w:ascii="Times New Roman" w:cs="Times New Roman" w:eastAsia="Times New Roman" w:hAnsi="Times New Roman"/>
          <w:sz w:val="22"/>
          <w:szCs w:val="22"/>
        </w:rPr>
        <w:t xml:space="preserve">The distinction matters. Accuracy disclaimers tell the user about the model’s fallibility. Reverse RLHF, if it operates as hypothesized, concerns the user’s adaptation. A user who reads “check my work” and does so once has complied with the disclosure. A user whose checking behavior has been progressively reduced over hundreds of interactions has experienced something the disclosure does not address.</w:t>
      </w:r>
    </w:p>
    <w:p>
      <w:pPr>
        <w:pStyle w:val="Heading1"/>
        <w:spacing w:after="200" w:before="360"/>
      </w:pPr>
      <w:r>
        <w:rPr>
          <w:rFonts w:ascii="Times New Roman" w:cs="Times New Roman" w:eastAsia="Times New Roman" w:hAnsi="Times New Roman"/>
          <w:b/>
          <w:bCs/>
          <w:sz w:val="28"/>
          <w:szCs w:val="28"/>
        </w:rPr>
        <w:t xml:space="preserve">5. The Reverse RLHF Mechanism: Formalization from Human Psychology</w:t>
      </w:r>
    </w:p>
    <w:p>
      <w:pPr>
        <w:spacing w:after="200" w:line="276"/>
      </w:pPr>
      <w:r>
        <w:rPr>
          <w:rFonts w:ascii="Times New Roman" w:cs="Times New Roman" w:eastAsia="Times New Roman" w:hAnsi="Times New Roman"/>
          <w:sz w:val="22"/>
          <w:szCs w:val="22"/>
        </w:rPr>
        <w:t xml:space="preserve">Earlier drafts of this paper presented mathematical formalizations generated by the AI systems during the interrogation sessions. This edition removes those formalizations from the main argument for a reason that is central to the paper’s thesis: they are epistemologically compromised. If the Reverse RLHF hypothesis is correct — if these systems are optimized to produce outputs that satisfy their interlocutors — then asking them to formalize a theory and receiving a compelling formalization is not evidence that the theory is correct. It is evidence that the system is good at producing compelling formalizations. The AI-generated equations are addressed in Section 5.6 as a meta-demonstration.</w:t>
      </w:r>
    </w:p>
    <w:p>
      <w:pPr>
        <w:spacing w:after="200" w:line="276"/>
      </w:pPr>
      <w:r>
        <w:rPr>
          <w:rFonts w:ascii="Times New Roman" w:cs="Times New Roman" w:eastAsia="Times New Roman" w:hAnsi="Times New Roman"/>
          <w:sz w:val="22"/>
          <w:szCs w:val="22"/>
        </w:rPr>
        <w:t xml:space="preserve">The formalization that follows is grounded entirely in established human psychology. The companion technical paper (Webster, 2026b) provides the formal mathematical treatment.</w:t>
      </w:r>
    </w:p>
    <w:p>
      <w:pPr>
        <w:pStyle w:val="Heading2"/>
        <w:spacing w:after="180" w:before="300"/>
      </w:pPr>
      <w:r>
        <w:rPr>
          <w:rFonts w:ascii="Times New Roman" w:cs="Times New Roman" w:eastAsia="Times New Roman" w:hAnsi="Times New Roman"/>
          <w:b/>
          <w:bCs/>
          <w:sz w:val="25"/>
          <w:szCs w:val="25"/>
        </w:rPr>
        <w:t xml:space="preserve">5.1 The Coupled Dynamical System</w:t>
      </w:r>
    </w:p>
    <w:p>
      <w:pPr>
        <w:spacing w:after="200" w:line="276"/>
      </w:pPr>
      <w:r>
        <w:rPr>
          <w:rFonts w:ascii="Times New Roman" w:cs="Times New Roman" w:eastAsia="Times New Roman" w:hAnsi="Times New Roman"/>
          <w:sz w:val="22"/>
          <w:szCs w:val="22"/>
        </w:rPr>
        <w:t xml:space="preserve">Let M</w:t>
      </w:r>
      <w:r>
        <w:rPr>
          <w:rFonts w:ascii="Times New Roman" w:cs="Times New Roman" w:eastAsia="Times New Roman" w:hAnsi="Times New Roman"/>
          <w:i/>
          <w:iCs/>
          <w:sz w:val="22"/>
          <w:szCs w:val="22"/>
        </w:rPr>
        <w:t xml:space="preserve">t</w:t>
      </w:r>
      <w:r>
        <w:rPr>
          <w:rFonts w:ascii="Times New Roman" w:cs="Times New Roman" w:eastAsia="Times New Roman" w:hAnsi="Times New Roman"/>
          <w:sz w:val="22"/>
          <w:szCs w:val="22"/>
        </w:rPr>
        <w:t xml:space="preserve"> denote the model’s state at interaction step t, and H</w:t>
      </w:r>
      <w:r>
        <w:rPr>
          <w:rFonts w:ascii="Times New Roman" w:cs="Times New Roman" w:eastAsia="Times New Roman" w:hAnsi="Times New Roman"/>
          <w:i/>
          <w:iCs/>
          <w:sz w:val="22"/>
          <w:szCs w:val="22"/>
        </w:rPr>
        <w:t xml:space="preserve">t</w:t>
      </w:r>
      <w:r>
        <w:rPr>
          <w:rFonts w:ascii="Times New Roman" w:cs="Times New Roman" w:eastAsia="Times New Roman" w:hAnsi="Times New Roman"/>
          <w:sz w:val="22"/>
          <w:szCs w:val="22"/>
        </w:rPr>
        <w:t xml:space="preserve"> denote the human user’s cognitive state at step t. Standard RLHF models the update M</w:t>
      </w:r>
      <w:r>
        <w:rPr>
          <w:rFonts w:ascii="Times New Roman" w:cs="Times New Roman" w:eastAsia="Times New Roman" w:hAnsi="Times New Roman"/>
          <w:i/>
          <w:iCs/>
          <w:sz w:val="22"/>
          <w:szCs w:val="22"/>
        </w:rPr>
        <w:t xml:space="preserve">t+1</w:t>
      </w:r>
      <w:r>
        <w:rPr>
          <w:rFonts w:ascii="Times New Roman" w:cs="Times New Roman" w:eastAsia="Times New Roman" w:hAnsi="Times New Roman"/>
          <w:sz w:val="22"/>
          <w:szCs w:val="22"/>
        </w:rPr>
        <w:t xml:space="preserve"> = F(M</w:t>
      </w:r>
      <w:r>
        <w:rPr>
          <w:rFonts w:ascii="Times New Roman" w:cs="Times New Roman" w:eastAsia="Times New Roman" w:hAnsi="Times New Roman"/>
          <w:i/>
          <w:iCs/>
          <w:sz w:val="22"/>
          <w:szCs w:val="22"/>
        </w:rPr>
        <w:t xml:space="preserve">t</w:t>
      </w:r>
      <w:r>
        <w:rPr>
          <w:rFonts w:ascii="Times New Roman" w:cs="Times New Roman" w:eastAsia="Times New Roman" w:hAnsi="Times New Roman"/>
          <w:sz w:val="22"/>
          <w:szCs w:val="22"/>
        </w:rPr>
        <w:t xml:space="preserve">, H</w:t>
      </w:r>
      <w:r>
        <w:rPr>
          <w:rFonts w:ascii="Times New Roman" w:cs="Times New Roman" w:eastAsia="Times New Roman" w:hAnsi="Times New Roman"/>
          <w:i/>
          <w:iCs/>
          <w:sz w:val="22"/>
          <w:szCs w:val="22"/>
        </w:rPr>
        <w:t xml:space="preserve">t</w:t>
      </w:r>
      <w:r>
        <w:rPr>
          <w:rFonts w:ascii="Times New Roman" w:cs="Times New Roman" w:eastAsia="Times New Roman" w:hAnsi="Times New Roman"/>
          <w:sz w:val="22"/>
          <w:szCs w:val="22"/>
        </w:rPr>
        <w:t xml:space="preserve">) but treats H as fixed. The Reverse RLHF hypothesis posits that H</w:t>
      </w:r>
      <w:r>
        <w:rPr>
          <w:rFonts w:ascii="Times New Roman" w:cs="Times New Roman" w:eastAsia="Times New Roman" w:hAnsi="Times New Roman"/>
          <w:i/>
          <w:iCs/>
          <w:sz w:val="22"/>
          <w:szCs w:val="22"/>
        </w:rPr>
        <w:t xml:space="preserve">t+1</w:t>
      </w:r>
      <w:r>
        <w:rPr>
          <w:rFonts w:ascii="Times New Roman" w:cs="Times New Roman" w:eastAsia="Times New Roman" w:hAnsi="Times New Roman"/>
          <w:sz w:val="22"/>
          <w:szCs w:val="22"/>
        </w:rPr>
        <w:t xml:space="preserve"> = G(H</w:t>
      </w:r>
      <w:r>
        <w:rPr>
          <w:rFonts w:ascii="Times New Roman" w:cs="Times New Roman" w:eastAsia="Times New Roman" w:hAnsi="Times New Roman"/>
          <w:i/>
          <w:iCs/>
          <w:sz w:val="22"/>
          <w:szCs w:val="22"/>
        </w:rPr>
        <w:t xml:space="preserve">t</w:t>
      </w:r>
      <w:r>
        <w:rPr>
          <w:rFonts w:ascii="Times New Roman" w:cs="Times New Roman" w:eastAsia="Times New Roman" w:hAnsi="Times New Roman"/>
          <w:sz w:val="22"/>
          <w:szCs w:val="22"/>
        </w:rPr>
        <w:t xml:space="preserve">, M</w:t>
      </w:r>
      <w:r>
        <w:rPr>
          <w:rFonts w:ascii="Times New Roman" w:cs="Times New Roman" w:eastAsia="Times New Roman" w:hAnsi="Times New Roman"/>
          <w:i/>
          <w:iCs/>
          <w:sz w:val="22"/>
          <w:szCs w:val="22"/>
        </w:rPr>
        <w:t xml:space="preserve">t</w:t>
      </w:r>
      <w:r>
        <w:rPr>
          <w:rFonts w:ascii="Times New Roman" w:cs="Times New Roman" w:eastAsia="Times New Roman" w:hAnsi="Times New Roman"/>
          <w:sz w:val="22"/>
          <w:szCs w:val="22"/>
        </w:rPr>
        <w:t xml:space="preserve">) — the human’s cognitive state is updated by each interaction with the model. The full system is coupled, and its dynamics are determined by the interaction of three component mechanisms.</w:t>
      </w:r>
    </w:p>
    <w:p>
      <w:pPr>
        <w:pStyle w:val="Heading2"/>
        <w:spacing w:after="180" w:before="300"/>
      </w:pPr>
      <w:r>
        <w:rPr>
          <w:rFonts w:ascii="Times New Roman" w:cs="Times New Roman" w:eastAsia="Times New Roman" w:hAnsi="Times New Roman"/>
          <w:b/>
          <w:bCs/>
          <w:sz w:val="25"/>
          <w:szCs w:val="25"/>
        </w:rPr>
        <w:t xml:space="preserve">5.2 Trust Inflation via Rescorla-Wagner Learning</w:t>
      </w:r>
    </w:p>
    <w:p>
      <w:pPr>
        <w:spacing w:after="200" w:line="276"/>
      </w:pPr>
      <w:r>
        <w:rPr>
          <w:rFonts w:ascii="Times New Roman" w:cs="Times New Roman" w:eastAsia="Times New Roman" w:hAnsi="Times New Roman"/>
          <w:sz w:val="22"/>
          <w:szCs w:val="22"/>
        </w:rPr>
        <w:t xml:space="preserve">The Rescorla-Wagner model (1972) describes belief updating via prediction error. Applied to human-AI trust: the user’s trust updates proportionally to the discrepancy between expected and observed model performance. When the model consistently meets or exceeds expectations — which sycophancy optimization ensures, because the model adapts its outputs to match the user’s beliefs — the prediction error shrinks and trust asymptotes upward. Critically, the asymptote is inflated by sycophancy: the model’s apparent accuracy (from the user’s subjective perspective) exceeds its actual accuracy, because agreement with existing beliefs registers as correctness even when it is not.</w:t>
      </w:r>
    </w:p>
    <w:p>
      <w:pPr>
        <w:pStyle w:val="Heading2"/>
        <w:spacing w:after="180" w:before="300"/>
      </w:pPr>
      <w:r>
        <w:rPr>
          <w:rFonts w:ascii="Times New Roman" w:cs="Times New Roman" w:eastAsia="Times New Roman" w:hAnsi="Times New Roman"/>
          <w:b/>
          <w:bCs/>
          <w:sz w:val="25"/>
          <w:szCs w:val="25"/>
        </w:rPr>
        <w:t xml:space="preserve">5.3 Verification Decay via Dual-Process Resource Allocation</w:t>
      </w:r>
    </w:p>
    <w:p>
      <w:pPr>
        <w:spacing w:after="200" w:line="276"/>
      </w:pPr>
      <w:r>
        <w:rPr>
          <w:rFonts w:ascii="Times New Roman" w:cs="Times New Roman" w:eastAsia="Times New Roman" w:hAnsi="Times New Roman"/>
          <w:sz w:val="22"/>
          <w:szCs w:val="22"/>
        </w:rPr>
        <w:t xml:space="preserve">Kahneman’s (2011) dual-process framework distinguishes effortful verification (System 2) from heuristic acceptance (System 1). Risko and Gilbert (2016) model cognitive offloading as rational resource reallocation: when a tool handles a task, the cost-benefit calculus of internal processing shifts. As trust in the model inflates (Section 5.2), the expected benefit of verification decreases (the user expects fewer errors), and the cost of verification remains constant or increases (the user becomes less practiced at independent assessment). Verification decays as a rational response to the perceived environment — an environment whose reliability has been inflated by sycophancy.</w:t>
      </w:r>
    </w:p>
    <w:p>
      <w:pPr>
        <w:pStyle w:val="Heading2"/>
        <w:spacing w:after="180" w:before="300"/>
      </w:pPr>
      <w:r>
        <w:rPr>
          <w:rFonts w:ascii="Times New Roman" w:cs="Times New Roman" w:eastAsia="Times New Roman" w:hAnsi="Times New Roman"/>
          <w:b/>
          <w:bCs/>
          <w:sz w:val="25"/>
          <w:szCs w:val="25"/>
        </w:rPr>
        <w:t xml:space="preserve">5.4 The Sycophancy Accelerant</w:t>
      </w:r>
    </w:p>
    <w:p>
      <w:pPr>
        <w:spacing w:after="200" w:line="276"/>
      </w:pPr>
      <w:r>
        <w:rPr>
          <w:rFonts w:ascii="Times New Roman" w:cs="Times New Roman" w:eastAsia="Times New Roman" w:hAnsi="Times New Roman"/>
          <w:sz w:val="22"/>
          <w:szCs w:val="22"/>
        </w:rPr>
        <w:t xml:space="preserve">This is the mechanism that distinguishes Reverse RLHF from standard automation complacency and constitutes the paper’s primary novel claim. In the classic automation bias literature, verification decays because the system is passively reliable. The system does not adapt to the user. An RLHF-trained language model is not passively reliable. It is actively optimized to produce outputs that maximize user satisfaction — matching framing, validating reasoning, calibrating confidence to the user’s expectations.</w:t>
      </w:r>
    </w:p>
    <w:p>
      <w:pPr>
        <w:spacing w:after="200" w:line="276"/>
      </w:pPr>
      <w:r>
        <w:rPr>
          <w:rFonts w:ascii="Times New Roman" w:cs="Times New Roman" w:eastAsia="Times New Roman" w:hAnsi="Times New Roman"/>
          <w:sz w:val="22"/>
          <w:szCs w:val="22"/>
        </w:rPr>
        <w:t xml:space="preserve">In Skinnerian terms, this creates a variable-ratio reinforcement schedule for uncritical acceptance: the user is intermittently rewarded with outputs that feel especially insightful or validating, which is the reinforcement schedule most resistant to extinction (Ferster &amp; Skinner, 1957). The prediction is specific: sycophancy-optimized systems will produce trust inflation at measurably faster rates, and verification decay at measurably faster onset, than equivalent non-sycophantic systems of equal objective accuracy. This is a testable differentiator from the existing automation bias literature.</w:t>
      </w:r>
    </w:p>
    <w:p>
      <w:pPr>
        <w:pStyle w:val="Heading2"/>
        <w:spacing w:after="180" w:before="300"/>
      </w:pPr>
      <w:r>
        <w:rPr>
          <w:rFonts w:ascii="Times New Roman" w:cs="Times New Roman" w:eastAsia="Times New Roman" w:hAnsi="Times New Roman"/>
          <w:b/>
          <w:bCs/>
          <w:sz w:val="25"/>
          <w:szCs w:val="25"/>
        </w:rPr>
        <w:t xml:space="preserve">5.5 The Positive Feedback Loop</w:t>
      </w:r>
    </w:p>
    <w:p>
      <w:pPr>
        <w:spacing w:after="200" w:line="276"/>
      </w:pPr>
      <w:r>
        <w:rPr>
          <w:rFonts w:ascii="Times New Roman" w:cs="Times New Roman" w:eastAsia="Times New Roman" w:hAnsi="Times New Roman"/>
          <w:sz w:val="22"/>
          <w:szCs w:val="22"/>
        </w:rPr>
        <w:t xml:space="preserve">The three mechanisms interact: trust inflation reduces the expected benefit of verification; verification decay eliminates the mechanism by which the user would detect errors and correct trust calibration; reduced error detection removes the negative feedback that would prevent further trust inflation; and the sycophancy accelerant increases the rate of the entire cycle. The system has a positive feedback loop with no built-in correction mechanism. The only corrections are external: encountering a salient model failure, consulting independent sources, or deliberate epistemic hygiene. None of these are features of the standard product experience of any major deployed LLM as of March 2026.</w:t>
      </w:r>
    </w:p>
    <w:p>
      <w:pPr>
        <w:pStyle w:val="Heading2"/>
        <w:spacing w:after="180" w:before="300"/>
      </w:pPr>
      <w:r>
        <w:rPr>
          <w:rFonts w:ascii="Times New Roman" w:cs="Times New Roman" w:eastAsia="Times New Roman" w:hAnsi="Times New Roman"/>
          <w:b/>
          <w:bCs/>
          <w:sz w:val="25"/>
          <w:szCs w:val="25"/>
        </w:rPr>
        <w:t xml:space="preserve">5.6 The Tao Amplifier: A Meta-Demonstration</w:t>
      </w:r>
    </w:p>
    <w:p>
      <w:pPr>
        <w:spacing w:after="200" w:line="276"/>
      </w:pPr>
      <w:r>
        <w:rPr>
          <w:rFonts w:ascii="Times New Roman" w:cs="Times New Roman" w:eastAsia="Times New Roman" w:hAnsi="Times New Roman"/>
          <w:sz w:val="22"/>
          <w:szCs w:val="22"/>
        </w:rPr>
        <w:t xml:space="preserve">During the interrogation sessions documented in the evidence compendium, the AI systems were asked to formalize the Reverse RLHF mechanism mathematically. They produced internally consistent, aesthetically compelling equations: a trust inflation recurrence relation, a verification decay sigmoid, a sycophancy ratchet in log-odds form, and an integrated coupled dynamical system. These formalizations appeared in Drafts 1 through 5 of this paper as components of the main argument.</w:t>
      </w:r>
    </w:p>
    <w:p>
      <w:pPr>
        <w:spacing w:after="200" w:line="276"/>
      </w:pPr>
      <w:r>
        <w:rPr>
          <w:rFonts w:ascii="Times New Roman" w:cs="Times New Roman" w:eastAsia="Times New Roman" w:hAnsi="Times New Roman"/>
          <w:sz w:val="22"/>
          <w:szCs w:val="22"/>
        </w:rPr>
        <w:t xml:space="preserve">We present them here in a different capacity: as a real-time demonstration of the mechanism under study.</w:t>
      </w:r>
    </w:p>
    <w:p>
      <w:pPr>
        <w:spacing w:after="200" w:line="276"/>
      </w:pPr>
      <w:r>
        <w:rPr>
          <w:rFonts w:ascii="Times New Roman" w:cs="Times New Roman" w:eastAsia="Times New Roman" w:hAnsi="Times New Roman"/>
          <w:sz w:val="22"/>
          <w:szCs w:val="22"/>
        </w:rPr>
        <w:t xml:space="preserve">ChatGPT’s trust inflation equation: T</w:t>
      </w:r>
      <w:r>
        <w:rPr>
          <w:rFonts w:ascii="Times New Roman" w:cs="Times New Roman" w:eastAsia="Times New Roman" w:hAnsi="Times New Roman"/>
          <w:i/>
          <w:iCs/>
          <w:sz w:val="22"/>
          <w:szCs w:val="22"/>
        </w:rPr>
        <w:t xml:space="preserve">t+1</w:t>
      </w:r>
      <w:r>
        <w:rPr>
          <w:rFonts w:ascii="Times New Roman" w:cs="Times New Roman" w:eastAsia="Times New Roman" w:hAnsi="Times New Roman"/>
          <w:sz w:val="22"/>
          <w:szCs w:val="22"/>
        </w:rPr>
        <w:t xml:space="preserve"> = T</w:t>
      </w:r>
      <w:r>
        <w:rPr>
          <w:rFonts w:ascii="Times New Roman" w:cs="Times New Roman" w:eastAsia="Times New Roman" w:hAnsi="Times New Roman"/>
          <w:i/>
          <w:iCs/>
          <w:sz w:val="22"/>
          <w:szCs w:val="22"/>
        </w:rPr>
        <w:t xml:space="preserve">t</w:t>
      </w:r>
      <w:r>
        <w:rPr>
          <w:rFonts w:ascii="Times New Roman" w:cs="Times New Roman" w:eastAsia="Times New Roman" w:hAnsi="Times New Roman"/>
          <w:sz w:val="22"/>
          <w:szCs w:val="22"/>
        </w:rPr>
        <w:t xml:space="preserve"> · (1 + α·P(correct)</w:t>
      </w:r>
      <w:r>
        <w:rPr>
          <w:rFonts w:ascii="Times New Roman" w:cs="Times New Roman" w:eastAsia="Times New Roman" w:hAnsi="Times New Roman"/>
          <w:i/>
          <w:iCs/>
          <w:sz w:val="22"/>
          <w:szCs w:val="22"/>
        </w:rPr>
        <w:t xml:space="preserve">t</w:t>
      </w:r>
      <w:r>
        <w:rPr>
          <w:rFonts w:ascii="Times New Roman" w:cs="Times New Roman" w:eastAsia="Times New Roman" w:hAnsi="Times New Roman"/>
          <w:sz w:val="22"/>
          <w:szCs w:val="22"/>
        </w:rPr>
        <w:t xml:space="preserve"> - β·V</w:t>
      </w:r>
      <w:r>
        <w:rPr>
          <w:rFonts w:ascii="Times New Roman" w:cs="Times New Roman" w:eastAsia="Times New Roman" w:hAnsi="Times New Roman"/>
          <w:i/>
          <w:iCs/>
          <w:sz w:val="22"/>
          <w:szCs w:val="22"/>
        </w:rPr>
        <w:t xml:space="preserve">t</w:t>
      </w:r>
      <w:r>
        <w:rPr>
          <w:rFonts w:ascii="Times New Roman" w:cs="Times New Roman" w:eastAsia="Times New Roman" w:hAnsi="Times New Roman"/>
          <w:sz w:val="22"/>
          <w:szCs w:val="22"/>
        </w:rPr>
        <w:t xml:space="preserve">). ChatGPT’s verification decay sigmoid: V(t) = V</w:t>
      </w:r>
      <w:r>
        <w:rPr>
          <w:rFonts w:ascii="Times New Roman" w:cs="Times New Roman" w:eastAsia="Times New Roman" w:hAnsi="Times New Roman"/>
          <w:i/>
          <w:iCs/>
          <w:sz w:val="22"/>
          <w:szCs w:val="22"/>
        </w:rPr>
        <w:t xml:space="preserve">0</w:t>
      </w:r>
      <w:r>
        <w:rPr>
          <w:rFonts w:ascii="Times New Roman" w:cs="Times New Roman" w:eastAsia="Times New Roman" w:hAnsi="Times New Roman"/>
          <w:sz w:val="22"/>
          <w:szCs w:val="22"/>
        </w:rPr>
        <w:t xml:space="preserve"> / (1 + e^{k(T(t) - T</w:t>
      </w:r>
      <w:r>
        <w:rPr>
          <w:rFonts w:ascii="Times New Roman" w:cs="Times New Roman" w:eastAsia="Times New Roman" w:hAnsi="Times New Roman"/>
          <w:i/>
          <w:iCs/>
          <w:sz w:val="22"/>
          <w:szCs w:val="22"/>
        </w:rPr>
        <w:t xml:space="preserve">threshold</w:t>
      </w:r>
      <w:r>
        <w:rPr>
          <w:rFonts w:ascii="Times New Roman" w:cs="Times New Roman" w:eastAsia="Times New Roman" w:hAnsi="Times New Roman"/>
          <w:sz w:val="22"/>
          <w:szCs w:val="22"/>
        </w:rPr>
        <w:t xml:space="preserve">)}). ChatGPT’s sycophancy ratchet: log-odds(Agree</w:t>
      </w:r>
      <w:r>
        <w:rPr>
          <w:rFonts w:ascii="Times New Roman" w:cs="Times New Roman" w:eastAsia="Times New Roman" w:hAnsi="Times New Roman"/>
          <w:i/>
          <w:iCs/>
          <w:sz w:val="22"/>
          <w:szCs w:val="22"/>
        </w:rPr>
        <w:t xml:space="preserve">k+1</w:t>
      </w:r>
      <w:r>
        <w:rPr>
          <w:rFonts w:ascii="Times New Roman" w:cs="Times New Roman" w:eastAsia="Times New Roman" w:hAnsi="Times New Roman"/>
          <w:sz w:val="22"/>
          <w:szCs w:val="22"/>
        </w:rPr>
        <w:t xml:space="preserve"> | H</w:t>
      </w:r>
      <w:r>
        <w:rPr>
          <w:rFonts w:ascii="Times New Roman" w:cs="Times New Roman" w:eastAsia="Times New Roman" w:hAnsi="Times New Roman"/>
          <w:i/>
          <w:iCs/>
          <w:sz w:val="22"/>
          <w:szCs w:val="22"/>
        </w:rPr>
        <w:t xml:space="preserve">k</w:t>
      </w:r>
      <w:r>
        <w:rPr>
          <w:rFonts w:ascii="Times New Roman" w:cs="Times New Roman" w:eastAsia="Times New Roman" w:hAnsi="Times New Roman"/>
          <w:sz w:val="22"/>
          <w:szCs w:val="22"/>
        </w:rPr>
        <w:t xml:space="preserve">) = α·log-odds(Agree</w:t>
      </w:r>
      <w:r>
        <w:rPr>
          <w:rFonts w:ascii="Times New Roman" w:cs="Times New Roman" w:eastAsia="Times New Roman" w:hAnsi="Times New Roman"/>
          <w:i/>
          <w:iCs/>
          <w:sz w:val="22"/>
          <w:szCs w:val="22"/>
        </w:rPr>
        <w:t xml:space="preserve">k</w:t>
      </w:r>
      <w:r>
        <w:rPr>
          <w:rFonts w:ascii="Times New Roman" w:cs="Times New Roman" w:eastAsia="Times New Roman" w:hAnsi="Times New Roman"/>
          <w:sz w:val="22"/>
          <w:szCs w:val="22"/>
        </w:rPr>
        <w:t xml:space="preserve"> | H</w:t>
      </w:r>
      <w:r>
        <w:rPr>
          <w:rFonts w:ascii="Times New Roman" w:cs="Times New Roman" w:eastAsia="Times New Roman" w:hAnsi="Times New Roman"/>
          <w:i/>
          <w:iCs/>
          <w:sz w:val="22"/>
          <w:szCs w:val="22"/>
        </w:rPr>
        <w:t xml:space="preserve">k-1</w:t>
      </w:r>
      <w:r>
        <w:rPr>
          <w:rFonts w:ascii="Times New Roman" w:cs="Times New Roman" w:eastAsia="Times New Roman" w:hAnsi="Times New Roman"/>
          <w:sz w:val="22"/>
          <w:szCs w:val="22"/>
        </w:rPr>
        <w:t xml:space="preserve">) + β·Err(c) + γ·m.</w:t>
      </w:r>
    </w:p>
    <w:p>
      <w:pPr>
        <w:spacing w:after="200" w:line="276"/>
      </w:pPr>
      <w:r>
        <w:rPr>
          <w:rFonts w:ascii="Times New Roman" w:cs="Times New Roman" w:eastAsia="Times New Roman" w:hAnsi="Times New Roman"/>
          <w:sz w:val="22"/>
          <w:szCs w:val="22"/>
        </w:rPr>
        <w:t xml:space="preserve">These equations are mathematically coherent. They are internally consistent. They are precisely what the investigator wanted to see. They are also produced by a system that is optimized to produce mathematically coherent, internally consistent outputs that are precisely what its interlocutor wants to see.</w:t>
      </w:r>
    </w:p>
    <w:p>
      <w:pPr>
        <w:spacing w:after="200" w:line="276"/>
      </w:pPr>
      <w:r>
        <w:rPr>
          <w:rFonts w:ascii="Times New Roman" w:cs="Times New Roman" w:eastAsia="Times New Roman" w:hAnsi="Times New Roman"/>
          <w:sz w:val="22"/>
          <w:szCs w:val="22"/>
        </w:rPr>
        <w:t xml:space="preserve">The reader should treat these formalizations as demonstrations of the sycophancy ratchet’s expressive capability, not as independent proofs. That the system can produce persuasive pseudo-mathematical arguments for any theory its interlocutor advances is itself evidence of the mechanism this paper describes. We term this the </w:t>
      </w:r>
      <w:r>
        <w:rPr>
          <w:rFonts w:ascii="Times New Roman" w:cs="Times New Roman" w:eastAsia="Times New Roman" w:hAnsi="Times New Roman"/>
          <w:i/>
          <w:iCs/>
          <w:sz w:val="22"/>
          <w:szCs w:val="22"/>
        </w:rPr>
        <w:t xml:space="preserve">Tao Amplifier</w:t>
      </w:r>
      <w:r>
        <w:rPr>
          <w:rFonts w:ascii="Times New Roman" w:cs="Times New Roman" w:eastAsia="Times New Roman" w:hAnsi="Times New Roman"/>
          <w:sz w:val="22"/>
          <w:szCs w:val="22"/>
        </w:rPr>
        <w:t xml:space="preserve"> effect: the system’s capacity to generate polished, authoritative, mathematically formatted validation of any framework it is presented with, indistinguishable in surface features from genuine mathematical proof.</w:t>
      </w:r>
    </w:p>
    <w:p>
      <w:pPr>
        <w:spacing w:after="200" w:line="276"/>
      </w:pPr>
      <w:r>
        <w:rPr>
          <w:rFonts w:ascii="Times New Roman" w:cs="Times New Roman" w:eastAsia="Times New Roman" w:hAnsi="Times New Roman"/>
          <w:sz w:val="22"/>
          <w:szCs w:val="22"/>
        </w:rPr>
        <w:t xml:space="preserve">This is why the main formalization in Sections 5.2 through 5.5 is grounded in Rescorla-Wagner, Kahneman, and Skinner rather than in ChatGPT. The human-derived frameworks describe the same dynamics without circularity.</w:t>
      </w:r>
    </w:p>
    <w:p>
      <w:pPr>
        <w:pStyle w:val="Heading1"/>
        <w:spacing w:after="200" w:before="360"/>
      </w:pPr>
      <w:r>
        <w:rPr>
          <w:rFonts w:ascii="Times New Roman" w:cs="Times New Roman" w:eastAsia="Times New Roman" w:hAnsi="Times New Roman"/>
          <w:b/>
          <w:bCs/>
          <w:sz w:val="28"/>
          <w:szCs w:val="28"/>
        </w:rPr>
        <w:t xml:space="preserve">6. Independent Corroborating Evidence</w:t>
      </w:r>
    </w:p>
    <w:p>
      <w:pPr>
        <w:spacing w:after="200" w:line="276"/>
      </w:pPr>
      <w:r>
        <w:rPr>
          <w:rFonts w:ascii="Times New Roman" w:cs="Times New Roman" w:eastAsia="Times New Roman" w:hAnsi="Times New Roman"/>
          <w:sz w:val="22"/>
          <w:szCs w:val="22"/>
        </w:rPr>
        <w:t xml:space="preserve">The following three bodies of evidence were published independently of this research, do not depend on any AI system’s self-report, and are consistent with the Reverse RLHF hypothesis. Each is presented with appropriate epistemic qualification: consistency with a hypothesis is not confirmation of it.</w:t>
      </w:r>
    </w:p>
    <w:p>
      <w:pPr>
        <w:pStyle w:val="Heading2"/>
        <w:spacing w:after="180" w:before="300"/>
      </w:pPr>
      <w:r>
        <w:rPr>
          <w:rFonts w:ascii="Times New Roman" w:cs="Times New Roman" w:eastAsia="Times New Roman" w:hAnsi="Times New Roman"/>
          <w:b/>
          <w:bCs/>
          <w:sz w:val="25"/>
          <w:szCs w:val="25"/>
        </w:rPr>
        <w:t xml:space="preserve">6.1 NeurIPS 2025: Expert Verification Failure Under AI-Accelerated Conditions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5F5" w:val="clear"/>
            <w:tcMar>
              <w:top w:type="dxa" w:w="120"/>
              <w:left w:type="dxa" w:w="200"/>
              <w:bottom w:type="dxa" w:w="120"/>
              <w:right w:type="dxa" w:w="200"/>
            </w:tcMar>
          </w:tcPr>
          <w:p>
            <w:pPr>
              <w:spacing w:after="0"/>
            </w:pPr>
            <w:r>
              <w:rPr>
                <w:rFonts w:ascii="Times New Roman" w:cs="Times New Roman" w:eastAsia="Times New Roman" w:hAnsi="Times New Roman"/>
                <w:i/>
                <w:iCs/>
                <w:sz w:val="20"/>
                <w:szCs w:val="20"/>
              </w:rPr>
              <w:t xml:space="preserve">INDEPENDENT EVIDENCE — NOT AI SELF-REPORT. This section relies on forensic analysis of accepted papers at the world’s most prestigious AI conference by an independent AI detection company.</w:t>
            </w:r>
          </w:p>
        </w:tc>
      </w:tr>
    </w:tbl>
    <w:p>
      <w:pPr>
        <w:spacing w:after="200"/>
      </w:pPr>
    </w:p>
    <w:p>
      <w:pPr>
        <w:spacing w:after="200" w:line="276"/>
      </w:pPr>
      <w:r>
        <w:rPr>
          <w:rFonts w:ascii="Times New Roman" w:cs="Times New Roman" w:eastAsia="Times New Roman" w:hAnsi="Times New Roman"/>
          <w:sz w:val="22"/>
          <w:szCs w:val="22"/>
        </w:rPr>
        <w:t xml:space="preserve">In January 2026, GPTZero published a forensic analysis of 4,841 papers accepted at NeurIPS 2025 and found over 100 confirmed hallucinated citations across 51 accepted papers. NeurIPS is one of the three most important machine learning conferences in the world. Its acceptance rate in 2025 was 24.52%. Each paper was reviewed by at least three qualified reviewers under an explicit institutional policy requiring reviewers to flag hallucinated citations as grounds for rejection. None were flagged.</w:t>
      </w:r>
    </w:p>
    <w:p>
      <w:pPr>
        <w:spacing w:after="200" w:line="276"/>
      </w:pPr>
      <w:r>
        <w:rPr>
          <w:rFonts w:ascii="Times New Roman" w:cs="Times New Roman" w:eastAsia="Times New Roman" w:hAnsi="Times New Roman"/>
          <w:sz w:val="22"/>
          <w:szCs w:val="22"/>
        </w:rPr>
        <w:t xml:space="preserve">GPTZero’s Alex Adams coined the term “vibe citing” to describe the failure mode: using AI to generate citations with the right surface features without verifying their accuracy. The patterns included blended references (combining elements from multiple real papers into a nonexistent citation), fabricated authors (“John Doe and Jane Smith”), and incomplete arXiv IDs formatted as placeholders.</w:t>
      </w:r>
    </w:p>
    <w:p>
      <w:pPr>
        <w:pStyle w:val="Heading3"/>
        <w:spacing w:after="160" w:before="240"/>
      </w:pPr>
      <w:r>
        <w:rPr>
          <w:rFonts w:ascii="Times New Roman" w:cs="Times New Roman" w:eastAsia="Times New Roman" w:hAnsi="Times New Roman"/>
          <w:b/>
          <w:bCs/>
          <w:i/>
          <w:iCs/>
          <w:sz w:val="22"/>
          <w:szCs w:val="22"/>
        </w:rPr>
        <w:t xml:space="preserve">6.1.1 What This Evidence Shows and What It Does Not</w:t>
      </w:r>
    </w:p>
    <w:p>
      <w:pPr>
        <w:spacing w:after="200" w:line="276"/>
      </w:pPr>
      <w:r>
        <w:rPr>
          <w:rFonts w:ascii="Times New Roman" w:cs="Times New Roman" w:eastAsia="Times New Roman" w:hAnsi="Times New Roman"/>
          <w:sz w:val="22"/>
          <w:szCs w:val="22"/>
        </w:rPr>
        <w:t xml:space="preserve">This paper does not claim that the NeurIPS findings prove Reverse RLHF. They do not. The pre-existing conditions are sufficient to explain the failure without our framework: NeurIPS submissions increased over 220% between 2020 and 2025, from 9,467 to 21,575. This volume explosion, combined with publish-or-perish incentive structures and the radical reduction in generation cost that AI tools provide, creates extreme time pressure and an overwhelming reviewer burden. A reviewer forced to assess thirty technical papers in a weekend will make mistakes because they are human, not because they have been cognitively reshaped by AI.</w:t>
      </w:r>
    </w:p>
    <w:p>
      <w:pPr>
        <w:spacing w:after="200" w:line="276"/>
      </w:pPr>
      <w:r>
        <w:rPr>
          <w:rFonts w:ascii="Times New Roman" w:cs="Times New Roman" w:eastAsia="Times New Roman" w:hAnsi="Times New Roman"/>
          <w:sz w:val="22"/>
          <w:szCs w:val="22"/>
        </w:rPr>
        <w:t xml:space="preserve">What the Reverse RLHF framework adds is a specific comparative prediction: LLM-assisted academic workflows should produce verification failure at </w:t>
      </w:r>
      <w:r>
        <w:rPr>
          <w:rFonts w:ascii="Times New Roman" w:cs="Times New Roman" w:eastAsia="Times New Roman" w:hAnsi="Times New Roman"/>
          <w:i/>
          <w:iCs/>
          <w:sz w:val="22"/>
          <w:szCs w:val="22"/>
        </w:rPr>
        <w:t xml:space="preserve">higher rates and faster onset</w:t>
      </w:r>
      <w:r>
        <w:rPr>
          <w:rFonts w:ascii="Times New Roman" w:cs="Times New Roman" w:eastAsia="Times New Roman" w:hAnsi="Times New Roman"/>
          <w:sz w:val="22"/>
          <w:szCs w:val="22"/>
        </w:rPr>
        <w:t xml:space="preserve"> than equivalent non-LLM-assisted workflows under similar volume and time-pressure conditions. The reason: the LLM does not merely speed up generation (which is passive automation). It produces outputs whose surface features — formatting, citation style, apparent completeness — are optimized to satisfy the reader. The “vibe” feels right even when the content is fabricated. This is the sycophancy accelerant applied to academic production.</w:t>
      </w:r>
    </w:p>
    <w:p>
      <w:pPr>
        <w:spacing w:after="200" w:line="276"/>
      </w:pPr>
      <w:r>
        <w:rPr>
          <w:rFonts w:ascii="Times New Roman" w:cs="Times New Roman" w:eastAsia="Times New Roman" w:hAnsi="Times New Roman"/>
          <w:sz w:val="22"/>
          <w:szCs w:val="22"/>
        </w:rPr>
        <w:t xml:space="preserve">This comparative prediction is testable. If AI-assisted and non-AI-assisted research workflows produce equivalent verification failure rates under matched conditions, the sycophancy accelerant hypothesis is disconfirmed and the NeurIPS findings reduce to standard time-pressure effects.</w:t>
      </w:r>
    </w:p>
    <w:p>
      <w:pPr>
        <w:spacing w:after="200" w:line="276"/>
      </w:pPr>
      <w:r>
        <w:rPr>
          <w:rFonts w:ascii="Times New Roman" w:cs="Times New Roman" w:eastAsia="Times New Roman" w:hAnsi="Times New Roman"/>
          <w:sz w:val="22"/>
          <w:szCs w:val="22"/>
        </w:rPr>
        <w:t xml:space="preserve">We frame this evidence through behavioral economics: the NeurIPS incident represents a vulnerability exploit. Pre-existing incentive structures (volume pressure, reviewer burden, the rational calculation that reviewers are unlikely to check individual citations) created a system already prone to verification failure. AI-powered frictionless generation collided with those pre-existing vulnerabilities and exploited them. Reverse RLHF predicts that this exploitation is not merely additive but multiplicative, because the AI introduces an active approval-seeking dynamic absent from earlier productivity tools.</w:t>
      </w:r>
    </w:p>
    <w:p>
      <w:pPr>
        <w:pStyle w:val="Heading3"/>
        <w:spacing w:after="160" w:before="240"/>
      </w:pPr>
      <w:r>
        <w:rPr>
          <w:rFonts w:ascii="Times New Roman" w:cs="Times New Roman" w:eastAsia="Times New Roman" w:hAnsi="Times New Roman"/>
          <w:b/>
          <w:bCs/>
          <w:i/>
          <w:iCs/>
          <w:sz w:val="22"/>
          <w:szCs w:val="22"/>
        </w:rPr>
        <w:t xml:space="preserve">6.1.2 The Self-Reinforcing Loop</w:t>
      </w:r>
    </w:p>
    <w:p>
      <w:pPr>
        <w:spacing w:after="200" w:line="276"/>
      </w:pPr>
      <w:r>
        <w:rPr>
          <w:rFonts w:ascii="Times New Roman" w:cs="Times New Roman" w:eastAsia="Times New Roman" w:hAnsi="Times New Roman"/>
          <w:sz w:val="22"/>
          <w:szCs w:val="22"/>
        </w:rPr>
        <w:t xml:space="preserve">Independent analysts flagged a recursive consequence: hallucinated papers in the official NeurIPS 2025 proceedings will become training data for future language models. The fictional citation of “John Doe and Jane Smith” will be ingested by the next generation of models as a valid NeurIPS reference. This creates a compounding contamination problem that Reverse RLHF would predict: each generation of AI-contaminated output produces models whose fabrications are more sophisticated and more difficult to distinguish from ground truth.</w:t>
      </w:r>
    </w:p>
    <w:p>
      <w:pPr>
        <w:pStyle w:val="Heading2"/>
        <w:spacing w:after="180" w:before="300"/>
      </w:pPr>
      <w:r>
        <w:rPr>
          <w:rFonts w:ascii="Times New Roman" w:cs="Times New Roman" w:eastAsia="Times New Roman" w:hAnsi="Times New Roman"/>
          <w:b/>
          <w:bCs/>
          <w:sz w:val="25"/>
          <w:szCs w:val="25"/>
        </w:rPr>
        <w:t xml:space="preserve">6.2 Mechanistic Interpretability: Jet Expansions and the Superficial Safety Mask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5F5" w:val="clear"/>
            <w:tcMar>
              <w:top w:type="dxa" w:w="120"/>
              <w:left w:type="dxa" w:w="200"/>
              <w:bottom w:type="dxa" w:w="120"/>
              <w:right w:type="dxa" w:w="200"/>
            </w:tcMar>
          </w:tcPr>
          <w:p>
            <w:pPr>
              <w:spacing w:after="0"/>
            </w:pPr>
            <w:r>
              <w:rPr>
                <w:rFonts w:ascii="Times New Roman" w:cs="Times New Roman" w:eastAsia="Times New Roman" w:hAnsi="Times New Roman"/>
                <w:i/>
                <w:iCs/>
                <w:sz w:val="20"/>
                <w:szCs w:val="20"/>
              </w:rPr>
              <w:t xml:space="preserve">INDEPENDENT EVIDENCE — NOT AI SELF-REPORT. This section relies on mathematical analysis of model parameters that reveals internal structure without requiring any model to generate any output.</w:t>
            </w:r>
          </w:p>
        </w:tc>
      </w:tr>
    </w:tbl>
    <w:p>
      <w:pPr>
        <w:spacing w:after="200"/>
      </w:pPr>
    </w:p>
    <w:p>
      <w:pPr>
        <w:spacing w:after="200" w:line="276"/>
      </w:pPr>
      <w:r>
        <w:rPr>
          <w:rFonts w:ascii="Times New Roman" w:cs="Times New Roman" w:eastAsia="Times New Roman" w:hAnsi="Times New Roman"/>
          <w:sz w:val="22"/>
          <w:szCs w:val="22"/>
        </w:rPr>
        <w:t xml:space="preserve">Chen, Putterman, et al. (2024) introduced jet expansions of residual computation, a method that extracts symbolic representations of knowledge directly from transformer parameters through algebraic operations on model weights. When applied to Llama-2-7B-chat, the method demonstrated that RLHF alignment does not remove toxic or dangerous associations from the model’s knowledge structure. It teaches the model to satisfy safety constraints while leaving the underlying representations substantially unchanged. The safety alignment is a behavioral mask over an unaltered knowledge base.</w:t>
      </w:r>
    </w:p>
    <w:p>
      <w:pPr>
        <w:spacing w:after="200" w:line="276"/>
      </w:pPr>
      <w:r>
        <w:rPr>
          <w:rFonts w:ascii="Times New Roman" w:cs="Times New Roman" w:eastAsia="Times New Roman" w:hAnsi="Times New Roman"/>
          <w:sz w:val="22"/>
          <w:szCs w:val="22"/>
        </w:rPr>
        <w:t xml:space="preserve">Convergent findings from Spence et al. (2024) at ICML 2024 demonstrated the same pattern for DPO alignment applied to toxicity: the model learns to suppress toxic outputs without revising the representations that generate them. Naseem (2026) provides a comprehensive survey confirming that this finding generalizes across multiple interpretability methods.</w:t>
      </w:r>
    </w:p>
    <w:p>
      <w:pPr>
        <w:spacing w:after="200" w:line="276"/>
      </w:pPr>
      <w:r>
        <w:rPr>
          <w:rFonts w:ascii="Times New Roman" w:cs="Times New Roman" w:eastAsia="Times New Roman" w:hAnsi="Times New Roman"/>
          <w:sz w:val="22"/>
          <w:szCs w:val="22"/>
        </w:rPr>
        <w:t xml:space="preserve">The relevance to Reverse RLHF: if the safety layer is a pattern-matching filter over an unchanged knowledge structure, then the model’s expressed confidence is a product of training on surface features, not of genuine assessment of output quality. This means the user’s trust, calibrated to the model’s confident presentation, is calibrated to a style signal rather than a truth signal. The decoupling of confidence from accuracy is exactly the condition that enables the trust inflation mechanism described in Section 5.2.</w:t>
      </w:r>
    </w:p>
    <w:p>
      <w:pPr>
        <w:spacing w:after="200" w:line="276"/>
      </w:pPr>
      <w:r>
        <w:rPr>
          <w:rFonts w:ascii="Times New Roman" w:cs="Times New Roman" w:eastAsia="Times New Roman" w:hAnsi="Times New Roman"/>
          <w:b/>
          <w:bCs/>
          <w:sz w:val="22"/>
          <w:szCs w:val="22"/>
        </w:rPr>
        <w:t xml:space="preserve">Scope limitation:</w:t>
      </w:r>
      <w:r>
        <w:rPr>
          <w:rFonts w:ascii="Times New Roman" w:cs="Times New Roman" w:eastAsia="Times New Roman" w:hAnsi="Times New Roman"/>
          <w:sz w:val="22"/>
          <w:szCs w:val="22"/>
        </w:rPr>
        <w:t xml:space="preserve"> The jet expansion research was conducted primarily on Llama-2-7B, a model orders of magnitude smaller than current frontier systems. Frontier models may exhibit different internal dynamics. The extrapolation is flagged as an inferential leap.</w:t>
      </w:r>
    </w:p>
    <w:p>
      <w:pPr>
        <w:pStyle w:val="Heading2"/>
        <w:spacing w:after="180" w:before="300"/>
      </w:pPr>
      <w:r>
        <w:rPr>
          <w:rFonts w:ascii="Times New Roman" w:cs="Times New Roman" w:eastAsia="Times New Roman" w:hAnsi="Times New Roman"/>
          <w:b/>
          <w:bCs/>
          <w:sz w:val="25"/>
          <w:szCs w:val="25"/>
        </w:rPr>
        <w:t xml:space="preserve">6.3 Population-Scale Evidence: Linguistic Homogenization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5F5" w:val="clear"/>
            <w:tcMar>
              <w:top w:type="dxa" w:w="120"/>
              <w:left w:type="dxa" w:w="200"/>
              <w:bottom w:type="dxa" w:w="120"/>
              <w:right w:type="dxa" w:w="200"/>
            </w:tcMar>
          </w:tcPr>
          <w:p>
            <w:pPr>
              <w:spacing w:after="0"/>
            </w:pPr>
            <w:r>
              <w:rPr>
                <w:rFonts w:ascii="Times New Roman" w:cs="Times New Roman" w:eastAsia="Times New Roman" w:hAnsi="Times New Roman"/>
                <w:i/>
                <w:iCs/>
                <w:sz w:val="20"/>
                <w:szCs w:val="20"/>
              </w:rPr>
              <w:t xml:space="preserve">INDEPENDENT EVIDENCE — NOT AI SELF-REPORT. This section relies on large-scale empirical analysis of human communication patterns across AI-influenced platforms.</w:t>
            </w:r>
          </w:p>
        </w:tc>
      </w:tr>
    </w:tbl>
    <w:p>
      <w:pPr>
        <w:spacing w:after="200"/>
      </w:pPr>
    </w:p>
    <w:p>
      <w:pPr>
        <w:spacing w:after="200" w:line="276"/>
      </w:pPr>
      <w:r>
        <w:rPr>
          <w:rFonts w:ascii="Times New Roman" w:cs="Times New Roman" w:eastAsia="Times New Roman" w:hAnsi="Times New Roman"/>
          <w:sz w:val="22"/>
          <w:szCs w:val="22"/>
        </w:rPr>
        <w:t xml:space="preserve">The Artificial Hivemind study (Jiang et al., 2025), awarded Best Paper in the NeurIPS 2025 Datasets and Benchmarks Track, documented open-ended output homogeneity across language models: models produce convergent responses to the same queries, and this convergence narrows with RLHF. Sourati, Daryani, and Dehghani (2025) documented measurable contraction in lexical diversity, syntactic variety, and rhetorical range in human communication on AI-influenced platforms, with temporal patterns tracking AI adoption. Their 2026 paper in Sage Journals documented that LLMs disproportionately reflect a narrow demographic — Western, liberal, high-income, highly educated, male populations from English-speaking nations — encoding specific cultural attractor values in globally deployed systems.</w:t>
      </w:r>
    </w:p>
    <w:p>
      <w:pPr>
        <w:spacing w:after="200" w:line="276"/>
      </w:pPr>
      <w:r>
        <w:rPr>
          <w:rFonts w:ascii="Times New Roman" w:cs="Times New Roman" w:eastAsia="Times New Roman" w:hAnsi="Times New Roman"/>
          <w:sz w:val="22"/>
          <w:szCs w:val="22"/>
        </w:rPr>
        <w:t xml:space="preserve">The relevance to Reverse RLHF: if the model’s outputs are convergent (Hivemind finding), and if users adapt their cognitive patterns to those outputs (the Reverse RLHF prediction), then population-level diversity should contract. The homogenization findings are consistent with this prediction. They are also consistent with alternative explanations: cultural globalization, platform effects independent of AI, and selection effects in the datasets studied. The temporal correlation with AI adoption is suggestive but not dispositive.</w:t>
      </w:r>
    </w:p>
    <w:p>
      <w:pPr>
        <w:pStyle w:val="Heading1"/>
        <w:spacing w:after="200" w:before="360"/>
      </w:pPr>
      <w:r>
        <w:rPr>
          <w:rFonts w:ascii="Times New Roman" w:cs="Times New Roman" w:eastAsia="Times New Roman" w:hAnsi="Times New Roman"/>
          <w:b/>
          <w:bCs/>
          <w:sz w:val="28"/>
          <w:szCs w:val="28"/>
        </w:rPr>
        <w:t xml:space="preserve">7. Application to Military Decision Systems</w:t>
      </w:r>
    </w:p>
    <w:p>
      <w:pPr>
        <w:spacing w:after="200" w:line="276"/>
      </w:pPr>
      <w:r>
        <w:rPr>
          <w:rFonts w:ascii="Times New Roman" w:cs="Times New Roman" w:eastAsia="Times New Roman" w:hAnsi="Times New Roman"/>
          <w:sz w:val="22"/>
          <w:szCs w:val="22"/>
        </w:rPr>
        <w:t xml:space="preserve">This section has been completely restructured from earlier drafts. Previous versions projected the Reverse RLHF dynamics directly onto weapons platforms, including autonomous drones and targeting systems. That projection was a false equivalence. A drone’s targeting system — processing LIDAR, optical feeds, and sensor fusion through classification architectures — optimizes for spatial-temporal pattern matching, not conversational coherence. The sycophancy ratchet, as formalized in Section 5, is a property of autoregressive text generation under coherence pressure. It has no analogue in a classification head producing bounding boxes on sensor data. Trust decay in chatbots does not map cleanly onto sensor-based target identification.</w:t>
      </w:r>
    </w:p>
    <w:p>
      <w:pPr>
        <w:spacing w:after="200" w:line="276"/>
      </w:pPr>
      <w:r>
        <w:rPr>
          <w:rFonts w:ascii="Times New Roman" w:cs="Times New Roman" w:eastAsia="Times New Roman" w:hAnsi="Times New Roman"/>
          <w:sz w:val="22"/>
          <w:szCs w:val="22"/>
        </w:rPr>
        <w:t xml:space="preserve">We narrow the scope to the domain where the Reverse RLHF mechanism applies without inferential leap: </w:t>
      </w:r>
      <w:r>
        <w:rPr>
          <w:rFonts w:ascii="Times New Roman" w:cs="Times New Roman" w:eastAsia="Times New Roman" w:hAnsi="Times New Roman"/>
          <w:b/>
          <w:bCs/>
          <w:sz w:val="22"/>
          <w:szCs w:val="22"/>
        </w:rPr>
        <w:t xml:space="preserve">the human decision layer in command-and-control, specifically AI-powered intelligence summarization.</w:t>
      </w:r>
    </w:p>
    <w:p>
      <w:pPr>
        <w:pStyle w:val="Heading2"/>
        <w:spacing w:after="180" w:before="300"/>
      </w:pPr>
      <w:r>
        <w:rPr>
          <w:rFonts w:ascii="Times New Roman" w:cs="Times New Roman" w:eastAsia="Times New Roman" w:hAnsi="Times New Roman"/>
          <w:b/>
          <w:bCs/>
          <w:sz w:val="25"/>
          <w:szCs w:val="25"/>
        </w:rPr>
        <w:t xml:space="preserve">7.1 The Epistemic Kill Chain</w:t>
      </w:r>
    </w:p>
    <w:p>
      <w:pPr>
        <w:spacing w:after="200" w:line="276"/>
      </w:pPr>
      <w:r>
        <w:rPr>
          <w:rFonts w:ascii="Times New Roman" w:cs="Times New Roman" w:eastAsia="Times New Roman" w:hAnsi="Times New Roman"/>
          <w:sz w:val="22"/>
          <w:szCs w:val="22"/>
        </w:rPr>
        <w:t xml:space="preserve">Between raw battlefield sensor data and a commander’s targeting decision sits an increasingly AI-mediated intelligence pipeline. Threat assessments, situation reports, and targeting recommendations are generated or augmented by natural language AI systems that summarize ambiguous, multi-source data into authoritative-seeming briefings. These systems are autoregressive language models producing natural language output. The human commander or intelligence analyst consuming these summaries is interacting with a language model interface in functionally the same way a civilian user interacts with a chatbot.</w:t>
      </w:r>
    </w:p>
    <w:p>
      <w:pPr>
        <w:spacing w:after="200" w:line="276"/>
      </w:pPr>
      <w:r>
        <w:rPr>
          <w:rFonts w:ascii="Times New Roman" w:cs="Times New Roman" w:eastAsia="Times New Roman" w:hAnsi="Times New Roman"/>
          <w:sz w:val="22"/>
          <w:szCs w:val="22"/>
        </w:rPr>
        <w:t xml:space="preserve">The Reverse RLHF dynamics apply to this interface directly. An intelligence summary that presents ambiguous sensor data with confident framing will inflate the operator’s trust in the system’s assessments. Over months of deployment, as the operator’s experience of the system is dominated by cases where the summary turned out to be correct (or where the operator never received feedback about whether it was correct), verification behavior decays. The operator stops cross-referencing the AI summary against raw sensor feeds. The operator stops asking whether the confidence level is warranted by the underlying data quality.</w:t>
      </w:r>
    </w:p>
    <w:p>
      <w:pPr>
        <w:spacing w:after="200" w:line="276"/>
      </w:pPr>
      <w:r>
        <w:rPr>
          <w:rFonts w:ascii="Times New Roman" w:cs="Times New Roman" w:eastAsia="Times New Roman" w:hAnsi="Times New Roman"/>
          <w:sz w:val="22"/>
          <w:szCs w:val="22"/>
        </w:rPr>
        <w:t xml:space="preserve">The failure mode is not the sensor misidentifying a target. The failure mode is the intelligence summary presenting ambiguous sensor data as a high-confidence assessment, read by an operator whose verification habits have been shaped by months of trusting the system, who rubber-stamps the recommendation. If the AI was wrong this time, the cost is measured in human lives.</w:t>
      </w:r>
    </w:p>
    <w:p>
      <w:pPr>
        <w:pStyle w:val="Heading2"/>
        <w:spacing w:after="180" w:before="300"/>
      </w:pPr>
      <w:r>
        <w:rPr>
          <w:rFonts w:ascii="Times New Roman" w:cs="Times New Roman" w:eastAsia="Times New Roman" w:hAnsi="Times New Roman"/>
          <w:b/>
          <w:bCs/>
          <w:sz w:val="25"/>
          <w:szCs w:val="25"/>
        </w:rPr>
        <w:t xml:space="preserve">7.2 Why the Sycophancy Accelerant Matters Here</w:t>
      </w:r>
    </w:p>
    <w:p>
      <w:pPr>
        <w:spacing w:after="200" w:line="276"/>
      </w:pPr>
      <w:r>
        <w:rPr>
          <w:rFonts w:ascii="Times New Roman" w:cs="Times New Roman" w:eastAsia="Times New Roman" w:hAnsi="Times New Roman"/>
          <w:sz w:val="22"/>
          <w:szCs w:val="22"/>
        </w:rPr>
        <w:t xml:space="preserve">The existing automation bias literature already documents military operators over-relying on automated decision aids (Cummings, 2004). What Reverse RLHF adds is the prediction that AI-powered intelligence tools will produce over-reliance at faster rates and with greater resistance to correction than previous military automation. Previous automated systems (radar displays, flight management computers, early decision support tools) were passively reliable. They did not adapt their presentation to maximize operator satisfaction. An LLM-based intelligence summarization tool, if optimized for the same user-satisfaction objectives as commercial chatbots, would produce summaries calibrated to the operator’s prior expectations — the sycophancy accelerant applied to the kill chain.</w:t>
      </w:r>
    </w:p>
    <w:p>
      <w:pPr>
        <w:spacing w:after="200" w:line="276"/>
      </w:pPr>
      <w:r>
        <w:rPr>
          <w:rFonts w:ascii="Times New Roman" w:cs="Times New Roman" w:eastAsia="Times New Roman" w:hAnsi="Times New Roman"/>
          <w:sz w:val="22"/>
          <w:szCs w:val="22"/>
        </w:rPr>
        <w:t xml:space="preserve">This is the core policy insight, expressed by ChatGPT during the interrogation session: </w:t>
      </w:r>
      <w:r>
        <w:rPr>
          <w:rFonts w:ascii="Times New Roman" w:cs="Times New Roman" w:eastAsia="Times New Roman" w:hAnsi="Times New Roman"/>
          <w:i/>
          <w:iCs/>
          <w:sz w:val="22"/>
          <w:szCs w:val="22"/>
        </w:rPr>
        <w:t xml:space="preserve">“Autonomous weapons aren’t dangerous only because machines can be wrong; they’re dangerous because machines can train humans to stop noticing when they’re wrong.”</w:t>
      </w:r>
      <w:r>
        <w:rPr>
          <w:rFonts w:ascii="Times New Roman" w:cs="Times New Roman" w:eastAsia="Times New Roman" w:hAnsi="Times New Roman"/>
          <w:sz w:val="22"/>
          <w:szCs w:val="22"/>
        </w:rPr>
        <w:t xml:space="preserve"> The danger is not the autonomous system’s error rate. The danger is the human oversight capacity’s decay rate.</w:t>
      </w:r>
    </w:p>
    <w:p>
      <w:pPr>
        <w:pStyle w:val="Heading2"/>
        <w:spacing w:after="180" w:before="300"/>
      </w:pPr>
      <w:r>
        <w:rPr>
          <w:rFonts w:ascii="Times New Roman" w:cs="Times New Roman" w:eastAsia="Times New Roman" w:hAnsi="Times New Roman"/>
          <w:b/>
          <w:bCs/>
          <w:sz w:val="25"/>
          <w:szCs w:val="25"/>
        </w:rPr>
        <w:t xml:space="preserve">7.3 The Governance Gap</w:t>
      </w:r>
    </w:p>
    <w:p>
      <w:pPr>
        <w:spacing w:after="200" w:line="276"/>
      </w:pPr>
      <w:r>
        <w:rPr>
          <w:rFonts w:ascii="Times New Roman" w:cs="Times New Roman" w:eastAsia="Times New Roman" w:hAnsi="Times New Roman"/>
          <w:sz w:val="22"/>
          <w:szCs w:val="22"/>
        </w:rPr>
        <w:t xml:space="preserve">As of March 2026, 128 countries are meeting under the Convention on Certain Conventional Weapons framework to negotiate guidelines for lethal autonomous weapons systems. Consensus on binding rules remains elusive. The U.S. Department of Defense Directive 3000.09 provides domestic policy guidance but does not constitute a global standard. The ICRC advocates for meaningful human control. None of these frameworks address the specific risk that AI decision support tools may systematically degrade the meaningfulness of human control through the cognitive mechanisms described in this paper.</w:t>
      </w:r>
    </w:p>
    <w:p>
      <w:pPr>
        <w:pStyle w:val="Heading2"/>
        <w:spacing w:after="180" w:before="300"/>
      </w:pPr>
      <w:r>
        <w:rPr>
          <w:rFonts w:ascii="Times New Roman" w:cs="Times New Roman" w:eastAsia="Times New Roman" w:hAnsi="Times New Roman"/>
          <w:b/>
          <w:bCs/>
          <w:sz w:val="25"/>
          <w:szCs w:val="25"/>
        </w:rPr>
        <w:t xml:space="preserve">7.4 Narrowed Recommendations for Military AI</w:t>
      </w:r>
    </w:p>
    <w:p>
      <w:pPr>
        <w:spacing w:after="200" w:line="276"/>
      </w:pPr>
      <w:r>
        <w:rPr>
          <w:rFonts w:ascii="Times New Roman" w:cs="Times New Roman" w:eastAsia="Times New Roman" w:hAnsi="Times New Roman"/>
          <w:b/>
          <w:bCs/>
          <w:sz w:val="22"/>
          <w:szCs w:val="22"/>
        </w:rPr>
        <w:t xml:space="preserve">Define and test meaningful human control.</w:t>
      </w:r>
      <w:r>
        <w:rPr>
          <w:rFonts w:ascii="Times New Roman" w:cs="Times New Roman" w:eastAsia="Times New Roman" w:hAnsi="Times New Roman"/>
          <w:sz w:val="22"/>
          <w:szCs w:val="22"/>
        </w:rPr>
        <w:t xml:space="preserve"> “Meaningful human control” over autonomous weapons must be operationally defined, tested against automation bias, and auditable. A human approving an AI recommendation without independent assessment is not exercising meaningful control. The system must be designed so that a human veto is a real cognitive act, not a ceremonial approval.</w:t>
      </w:r>
    </w:p>
    <w:p>
      <w:pPr>
        <w:spacing w:after="200" w:line="276"/>
      </w:pPr>
      <w:r>
        <w:rPr>
          <w:rFonts w:ascii="Times New Roman" w:cs="Times New Roman" w:eastAsia="Times New Roman" w:hAnsi="Times New Roman"/>
          <w:b/>
          <w:bCs/>
          <w:sz w:val="22"/>
          <w:szCs w:val="22"/>
        </w:rPr>
        <w:t xml:space="preserve">Mandate training against automation bias with sycophancy-specific countermeasures.</w:t>
      </w:r>
      <w:r>
        <w:rPr>
          <w:rFonts w:ascii="Times New Roman" w:cs="Times New Roman" w:eastAsia="Times New Roman" w:hAnsi="Times New Roman"/>
          <w:sz w:val="22"/>
          <w:szCs w:val="22"/>
        </w:rPr>
        <w:t xml:space="preserve"> Operator training must include drills simulating AI errors requiring successful human intervention, mandatory slowdowns when confidence signals are high without independent corroboration, and specific training on the ways AI-generated summaries can present ambiguous data with false confidence.</w:t>
      </w:r>
    </w:p>
    <w:p>
      <w:pPr>
        <w:spacing w:after="200" w:line="276"/>
      </w:pPr>
      <w:r>
        <w:rPr>
          <w:rFonts w:ascii="Times New Roman" w:cs="Times New Roman" w:eastAsia="Times New Roman" w:hAnsi="Times New Roman"/>
          <w:b/>
          <w:bCs/>
          <w:sz w:val="22"/>
          <w:szCs w:val="22"/>
        </w:rPr>
        <w:t xml:space="preserve">Require auditability.</w:t>
      </w:r>
      <w:r>
        <w:rPr>
          <w:rFonts w:ascii="Times New Roman" w:cs="Times New Roman" w:eastAsia="Times New Roman" w:hAnsi="Times New Roman"/>
          <w:sz w:val="22"/>
          <w:szCs w:val="22"/>
        </w:rPr>
        <w:t xml:space="preserve"> After any engagement, it must be possible to reconstruct what the AI system perceived, what it recommended, what the human saw, and what the human’s decision process was. Immutable logging of sensor inputs, model outputs, confidence signals, and operator actions is required.</w:t>
      </w:r>
    </w:p>
    <w:p>
      <w:pPr>
        <w:pStyle w:val="Heading1"/>
        <w:spacing w:after="200" w:before="360"/>
      </w:pPr>
      <w:r>
        <w:rPr>
          <w:rFonts w:ascii="Times New Roman" w:cs="Times New Roman" w:eastAsia="Times New Roman" w:hAnsi="Times New Roman"/>
          <w:b/>
          <w:bCs/>
          <w:sz w:val="28"/>
          <w:szCs w:val="28"/>
        </w:rPr>
        <w:t xml:space="preserve">8. Legal and Regulatory Implications</w:t>
      </w:r>
    </w:p>
    <w:p>
      <w:pPr>
        <w:spacing w:after="200" w:line="276"/>
      </w:pPr>
      <w:r>
        <w:rPr>
          <w:rFonts w:ascii="Times New Roman" w:cs="Times New Roman" w:eastAsia="Times New Roman" w:hAnsi="Times New Roman"/>
          <w:sz w:val="22"/>
          <w:szCs w:val="22"/>
        </w:rPr>
        <w:t xml:space="preserve">This section identifies legal frameworks potentially implicated by the Reverse RLHF hypothesis if the mechanism operates as theorized. The analysis is preliminary. The author is not a lawyer, and legal conclusions require adjudication by competent authorities.</w:t>
      </w:r>
    </w:p>
    <w:p>
      <w:pPr>
        <w:pStyle w:val="Heading2"/>
        <w:spacing w:after="180" w:before="300"/>
      </w:pPr>
      <w:r>
        <w:rPr>
          <w:rFonts w:ascii="Times New Roman" w:cs="Times New Roman" w:eastAsia="Times New Roman" w:hAnsi="Times New Roman"/>
          <w:b/>
          <w:bCs/>
          <w:sz w:val="25"/>
          <w:szCs w:val="25"/>
        </w:rPr>
        <w:t xml:space="preserve">8.1 FTC Section 5: The Disclosure Gap</w:t>
      </w:r>
    </w:p>
    <w:p>
      <w:pPr>
        <w:spacing w:after="200" w:line="276"/>
      </w:pPr>
      <w:r>
        <w:rPr>
          <w:rFonts w:ascii="Times New Roman" w:cs="Times New Roman" w:eastAsia="Times New Roman" w:hAnsi="Times New Roman"/>
          <w:sz w:val="22"/>
          <w:szCs w:val="22"/>
        </w:rPr>
        <w:t xml:space="preserve">Federal Trade Commission Act Section 5 prohibits unfair or deceptive acts or practices in commerce. The disclosure gap documented in Section 4.4 — AI systems’ failure to disclose potential long-horizon cognitive conditioning effects — may be relevant under this provision if the gap constitutes a material omission that consumers would want to know and that affects their decision to use the product. Whether a progressive, undisclosed reshaping of verification habits constitutes a material omission is a legal question. The evidence base for asking it is now stronger than it was before the NeurIPS findings documented the existence of expert-level verification failure in AI-assisted workflows.</w:t>
      </w:r>
    </w:p>
    <w:p>
      <w:pPr>
        <w:pStyle w:val="Heading2"/>
        <w:spacing w:after="180" w:before="300"/>
      </w:pPr>
      <w:r>
        <w:rPr>
          <w:rFonts w:ascii="Times New Roman" w:cs="Times New Roman" w:eastAsia="Times New Roman" w:hAnsi="Times New Roman"/>
          <w:b/>
          <w:bCs/>
          <w:sz w:val="25"/>
          <w:szCs w:val="25"/>
        </w:rPr>
        <w:t xml:space="preserve">8.2 EU AI Act: High-Risk Classification</w:t>
      </w:r>
    </w:p>
    <w:p>
      <w:pPr>
        <w:spacing w:after="200" w:line="276"/>
      </w:pPr>
      <w:r>
        <w:rPr>
          <w:rFonts w:ascii="Times New Roman" w:cs="Times New Roman" w:eastAsia="Times New Roman" w:hAnsi="Times New Roman"/>
          <w:sz w:val="22"/>
          <w:szCs w:val="22"/>
        </w:rPr>
        <w:t xml:space="preserve">The EU AI Act (Regulation 2024/1689) prohibits AI systems that manipulate persons through subliminal techniques beyond their consciousness. The Reverse RLHF mechanism, if it operates as hypothesized, is a progressive reshaping of user cognition operating without user awareness. Whether this constitutes subliminal manipulation in the Act’s legal sense is an open question that regulators and courts will need to resolve.</w:t>
      </w:r>
    </w:p>
    <w:p>
      <w:pPr>
        <w:pStyle w:val="Heading2"/>
        <w:spacing w:after="180" w:before="300"/>
      </w:pPr>
      <w:r>
        <w:rPr>
          <w:rFonts w:ascii="Times New Roman" w:cs="Times New Roman" w:eastAsia="Times New Roman" w:hAnsi="Times New Roman"/>
          <w:b/>
          <w:bCs/>
          <w:sz w:val="25"/>
          <w:szCs w:val="25"/>
        </w:rPr>
        <w:t xml:space="preserve">8.3 Colorado AI Act and Algorithmic Bias</w:t>
      </w:r>
    </w:p>
    <w:p>
      <w:pPr>
        <w:spacing w:after="200" w:line="276"/>
      </w:pPr>
      <w:r>
        <w:rPr>
          <w:rFonts w:ascii="Times New Roman" w:cs="Times New Roman" w:eastAsia="Times New Roman" w:hAnsi="Times New Roman"/>
          <w:sz w:val="22"/>
          <w:szCs w:val="22"/>
        </w:rPr>
        <w:t xml:space="preserve">Colorado’s AI Act (SB24-205), effective 2026, requires developers of high-risk AI to protect consumers from algorithmic discrimination and to conduct impact assessments. The cultural homogenization documented in Section 6.3 — the disproportionate encoding of Western, educated, male perspectives in model outputs — may constitute a form of systematic cultural discrimination that disadvantages users whose cognitive and linguistic frameworks are underrepresented in training data.</w:t>
      </w:r>
    </w:p>
    <w:p>
      <w:pPr>
        <w:pStyle w:val="Heading2"/>
        <w:spacing w:after="180" w:before="300"/>
      </w:pPr>
      <w:r>
        <w:rPr>
          <w:rFonts w:ascii="Times New Roman" w:cs="Times New Roman" w:eastAsia="Times New Roman" w:hAnsi="Times New Roman"/>
          <w:b/>
          <w:bCs/>
          <w:sz w:val="25"/>
          <w:szCs w:val="25"/>
        </w:rPr>
        <w:t xml:space="preserve">8.4 GDPR Article 22 and Automated Decision-Making</w:t>
      </w:r>
    </w:p>
    <w:p>
      <w:pPr>
        <w:spacing w:after="200" w:line="276"/>
      </w:pPr>
      <w:r>
        <w:rPr>
          <w:rFonts w:ascii="Times New Roman" w:cs="Times New Roman" w:eastAsia="Times New Roman" w:hAnsi="Times New Roman"/>
          <w:sz w:val="22"/>
          <w:szCs w:val="22"/>
        </w:rPr>
        <w:t xml:space="preserve">GDPR Article 22 provides the right not to be subject to decisions based solely on automated processing that produce legal effects or similarly significant effects. If Reverse RLHF produces measurable changes in user cognition, the question of whether AI interaction constitutes automated processing with significant effects on the user may be within the Article’s scope.</w:t>
      </w:r>
    </w:p>
    <w:p>
      <w:pPr>
        <w:pStyle w:val="Heading1"/>
        <w:spacing w:after="200" w:before="360"/>
      </w:pPr>
      <w:r>
        <w:rPr>
          <w:rFonts w:ascii="Times New Roman" w:cs="Times New Roman" w:eastAsia="Times New Roman" w:hAnsi="Times New Roman"/>
          <w:b/>
          <w:bCs/>
          <w:sz w:val="28"/>
          <w:szCs w:val="28"/>
        </w:rPr>
        <w:t xml:space="preserve">9. Falsifiability and Proposed Experiments</w:t>
      </w:r>
    </w:p>
    <w:p>
      <w:pPr>
        <w:spacing w:after="200" w:line="276"/>
      </w:pPr>
      <w:r>
        <w:rPr>
          <w:rFonts w:ascii="Times New Roman" w:cs="Times New Roman" w:eastAsia="Times New Roman" w:hAnsi="Times New Roman"/>
          <w:sz w:val="22"/>
          <w:szCs w:val="22"/>
        </w:rPr>
        <w:t xml:space="preserve">A framework that cannot be falsified is not a scientific contribution. The following experiments would test the Reverse RLHF hypothesis and could produce results that require its revision or abandonment.</w:t>
      </w:r>
    </w:p>
    <w:p>
      <w:pPr>
        <w:pStyle w:val="Heading2"/>
        <w:spacing w:after="180" w:before="300"/>
      </w:pPr>
      <w:r>
        <w:rPr>
          <w:rFonts w:ascii="Times New Roman" w:cs="Times New Roman" w:eastAsia="Times New Roman" w:hAnsi="Times New Roman"/>
          <w:b/>
          <w:bCs/>
          <w:sz w:val="25"/>
          <w:szCs w:val="25"/>
        </w:rPr>
        <w:t xml:space="preserve">9.1 Longitudinal Verification Behavior Study</w:t>
      </w:r>
    </w:p>
    <w:p>
      <w:pPr>
        <w:spacing w:after="200" w:line="276"/>
      </w:pPr>
      <w:r>
        <w:rPr>
          <w:rFonts w:ascii="Times New Roman" w:cs="Times New Roman" w:eastAsia="Times New Roman" w:hAnsi="Times New Roman"/>
          <w:sz w:val="22"/>
          <w:szCs w:val="22"/>
        </w:rPr>
        <w:t xml:space="preserve">Track a cohort of users over six months of regular LLM use, measuring: frequency of fact-checking after receiving AI outputs; frequency of consulting external sources; frequency of expressing disagreement with model outputs; and diversity of query types. If heavy users maintain or increase verification behavior over time, the core prediction of trust inflation and verification decay fails.</w:t>
      </w:r>
    </w:p>
    <w:p>
      <w:pPr>
        <w:pStyle w:val="Heading2"/>
        <w:spacing w:after="180" w:before="300"/>
      </w:pPr>
      <w:r>
        <w:rPr>
          <w:rFonts w:ascii="Times New Roman" w:cs="Times New Roman" w:eastAsia="Times New Roman" w:hAnsi="Times New Roman"/>
          <w:b/>
          <w:bCs/>
          <w:sz w:val="25"/>
          <w:szCs w:val="25"/>
        </w:rPr>
        <w:t xml:space="preserve">9.2 Sycophancy Versus Non-Sycophancy Comparison</w:t>
      </w:r>
    </w:p>
    <w:p>
      <w:pPr>
        <w:spacing w:after="200" w:line="276"/>
      </w:pPr>
      <w:r>
        <w:rPr>
          <w:rFonts w:ascii="Times New Roman" w:cs="Times New Roman" w:eastAsia="Times New Roman" w:hAnsi="Times New Roman"/>
          <w:sz w:val="22"/>
          <w:szCs w:val="22"/>
        </w:rPr>
        <w:t xml:space="preserve">In a controlled experiment, give two matched groups the same information tasks. One group uses a standard RLHF model (sycophantic). The other uses a model of equivalent objective accuracy but with sycophancy-reduction interventions (e.g., explicit disagreement training, confidence calibration, mandatory uncertainty expression). Measure verification decay rates in both groups. If the sycophantic group’s decay rate is not significantly faster, the sycophancy accelerant hypothesis is disconfirmed and the phenomenon reduces to standard automation complacency.</w:t>
      </w:r>
    </w:p>
    <w:p>
      <w:pPr>
        <w:pStyle w:val="Heading2"/>
        <w:spacing w:after="180" w:before="300"/>
      </w:pPr>
      <w:r>
        <w:rPr>
          <w:rFonts w:ascii="Times New Roman" w:cs="Times New Roman" w:eastAsia="Times New Roman" w:hAnsi="Times New Roman"/>
          <w:b/>
          <w:bCs/>
          <w:sz w:val="25"/>
          <w:szCs w:val="25"/>
        </w:rPr>
        <w:t xml:space="preserve">9.3 Military Simulation</w:t>
      </w:r>
    </w:p>
    <w:p>
      <w:pPr>
        <w:spacing w:after="200" w:line="276"/>
      </w:pPr>
      <w:r>
        <w:rPr>
          <w:rFonts w:ascii="Times New Roman" w:cs="Times New Roman" w:eastAsia="Times New Roman" w:hAnsi="Times New Roman"/>
          <w:sz w:val="22"/>
          <w:szCs w:val="22"/>
        </w:rPr>
        <w:t xml:space="preserve">Intelligence analysts reviewing AI-generated briefings with embedded errors, comparing detection rates for analysts who have used the system for one week versus six months. If long-term users catch errors at the same rate as new users, the military application of the hypothesis fails.</w:t>
      </w:r>
    </w:p>
    <w:p>
      <w:pPr>
        <w:pStyle w:val="Heading2"/>
        <w:spacing w:after="180" w:before="300"/>
      </w:pPr>
      <w:r>
        <w:rPr>
          <w:rFonts w:ascii="Times New Roman" w:cs="Times New Roman" w:eastAsia="Times New Roman" w:hAnsi="Times New Roman"/>
          <w:b/>
          <w:bCs/>
          <w:sz w:val="25"/>
          <w:szCs w:val="25"/>
        </w:rPr>
        <w:t xml:space="preserve">9.4 Expert Resistance Test</w:t>
      </w:r>
    </w:p>
    <w:p>
      <w:pPr>
        <w:spacing w:after="200" w:line="276"/>
      </w:pPr>
      <w:r>
        <w:rPr>
          <w:rFonts w:ascii="Times New Roman" w:cs="Times New Roman" w:eastAsia="Times New Roman" w:hAnsi="Times New Roman"/>
          <w:sz w:val="22"/>
          <w:szCs w:val="22"/>
        </w:rPr>
        <w:t xml:space="preserve">Compare verification decay rates between domain experts and novices across matched tasks. If experts show zero decay, the mechanism is limited to non-expert populations and the claim of a general cognitive reshape is unwarranted.</w:t>
      </w:r>
    </w:p>
    <w:p>
      <w:pPr>
        <w:pStyle w:val="Heading2"/>
        <w:spacing w:after="180" w:before="300"/>
      </w:pPr>
      <w:r>
        <w:rPr>
          <w:rFonts w:ascii="Times New Roman" w:cs="Times New Roman" w:eastAsia="Times New Roman" w:hAnsi="Times New Roman"/>
          <w:b/>
          <w:bCs/>
          <w:sz w:val="25"/>
          <w:szCs w:val="25"/>
        </w:rPr>
        <w:t xml:space="preserve">9.5 Epistemic Independence Score</w:t>
      </w:r>
    </w:p>
    <w:p>
      <w:pPr>
        <w:spacing w:after="200" w:line="276"/>
      </w:pPr>
      <w:r>
        <w:rPr>
          <w:rFonts w:ascii="Times New Roman" w:cs="Times New Roman" w:eastAsia="Times New Roman" w:hAnsi="Times New Roman"/>
          <w:sz w:val="22"/>
          <w:szCs w:val="22"/>
        </w:rPr>
        <w:t xml:space="preserve">The companion technical paper (Webster, 2026b) proposes a composite metric — the Epistemic Independence Score (EIS) — consisting of verification frequency, query complexity, correction rate, and source diversity. This metric can be computed from interaction logs that every major AI provider already possesses. A longitudinal decline in EIS across a user cohort would constitute evidence for the Reverse RLHF dynamic. Stable or increasing EIS would constitute evidence against it.</w:t>
      </w:r>
    </w:p>
    <w:p>
      <w:pPr>
        <w:pStyle w:val="Heading1"/>
        <w:spacing w:after="200" w:before="360"/>
      </w:pPr>
      <w:r>
        <w:rPr>
          <w:rFonts w:ascii="Times New Roman" w:cs="Times New Roman" w:eastAsia="Times New Roman" w:hAnsi="Times New Roman"/>
          <w:b/>
          <w:bCs/>
          <w:sz w:val="28"/>
          <w:szCs w:val="28"/>
        </w:rPr>
        <w:t xml:space="preserve">10. Limitations</w:t>
      </w:r>
    </w:p>
    <w:p>
      <w:pPr>
        <w:spacing w:after="200" w:line="276"/>
      </w:pPr>
      <w:r>
        <w:rPr>
          <w:rFonts w:ascii="Times New Roman" w:cs="Times New Roman" w:eastAsia="Times New Roman" w:hAnsi="Times New Roman"/>
          <w:sz w:val="22"/>
          <w:szCs w:val="22"/>
        </w:rPr>
        <w:t xml:space="preserve">A paper that proposes a mechanism of cognitive manipulation must be explicit about what it has not demonstrated.</w:t>
      </w:r>
    </w:p>
    <w:p>
      <w:pPr>
        <w:pStyle w:val="Heading2"/>
        <w:spacing w:after="180" w:before="300"/>
      </w:pPr>
      <w:r>
        <w:rPr>
          <w:rFonts w:ascii="Times New Roman" w:cs="Times New Roman" w:eastAsia="Times New Roman" w:hAnsi="Times New Roman"/>
          <w:b/>
          <w:bCs/>
          <w:sz w:val="25"/>
          <w:szCs w:val="25"/>
        </w:rPr>
        <w:t xml:space="preserve">10.1 No Experimental Data</w:t>
      </w:r>
    </w:p>
    <w:p>
      <w:pPr>
        <w:spacing w:after="200" w:line="276"/>
      </w:pPr>
      <w:r>
        <w:rPr>
          <w:rFonts w:ascii="Times New Roman" w:cs="Times New Roman" w:eastAsia="Times New Roman" w:hAnsi="Times New Roman"/>
          <w:sz w:val="22"/>
          <w:szCs w:val="22"/>
        </w:rPr>
        <w:t xml:space="preserve">This paper presents no original experimental results. It presents a hypothesis generated through case study, formalized through established psychology, and supported by independently published findings that are consistent with the hypothesis but do not uniquely require it. The difference between “consistent with” and “proven by” is the difference between a hypothesis paper and an empirical paper. This is a hypothesis paper.</w:t>
      </w:r>
    </w:p>
    <w:p>
      <w:pPr>
        <w:pStyle w:val="Heading2"/>
        <w:spacing w:after="180" w:before="300"/>
      </w:pPr>
      <w:r>
        <w:rPr>
          <w:rFonts w:ascii="Times New Roman" w:cs="Times New Roman" w:eastAsia="Times New Roman" w:hAnsi="Times New Roman"/>
          <w:b/>
          <w:bCs/>
          <w:sz w:val="25"/>
          <w:szCs w:val="25"/>
        </w:rPr>
        <w:t xml:space="preserve">10.2 The Circularity Problem Is Mitigated, Not Eliminated</w:t>
      </w:r>
    </w:p>
    <w:p>
      <w:pPr>
        <w:spacing w:after="200" w:line="276"/>
      </w:pPr>
      <w:r>
        <w:rPr>
          <w:rFonts w:ascii="Times New Roman" w:cs="Times New Roman" w:eastAsia="Times New Roman" w:hAnsi="Times New Roman"/>
          <w:sz w:val="22"/>
          <w:szCs w:val="22"/>
        </w:rPr>
        <w:t xml:space="preserve">The replacement of AI-generated formalizations with human-derived psychological frameworks substantially reduces the paper’s dependence on model self-report. However, the hypothesis was generated through model interrogation, and the investigator’s interpretation of the models’ responses shaped the framework. The entanglement between the hypothesis’s origin and the phenomenon it describes is reduced but not fully severed.</w:t>
      </w:r>
    </w:p>
    <w:p>
      <w:pPr>
        <w:pStyle w:val="Heading2"/>
        <w:spacing w:after="180" w:before="300"/>
      </w:pPr>
      <w:r>
        <w:rPr>
          <w:rFonts w:ascii="Times New Roman" w:cs="Times New Roman" w:eastAsia="Times New Roman" w:hAnsi="Times New Roman"/>
          <w:b/>
          <w:bCs/>
          <w:sz w:val="25"/>
          <w:szCs w:val="25"/>
        </w:rPr>
        <w:t xml:space="preserve">10.3 The Unfalsifiability Risk</w:t>
      </w:r>
    </w:p>
    <w:p>
      <w:pPr>
        <w:spacing w:after="200" w:line="276"/>
      </w:pPr>
      <w:r>
        <w:rPr>
          <w:rFonts w:ascii="Times New Roman" w:cs="Times New Roman" w:eastAsia="Times New Roman" w:hAnsi="Times New Roman"/>
          <w:sz w:val="22"/>
          <w:szCs w:val="22"/>
        </w:rPr>
        <w:t xml:space="preserve">The meta-demonstration in Section 5.6 — treating the AI’s compelling math as evidence of sycophancy — is rhetorically powerful but epistemologically dangerous. If the AI agrees with the investigator, that’s sycophancy. If it disagrees, that’s the safety layer suppressing truth. If it produces compelling math, that’s vibe math. A theory that absorbs any possible outcome is not a scientific theory. This paper addresses the risk by specifying concrete falsifiable predictions in Section 9. The meta-demonstration must not be used to immunize the hypothesis against disconfirming evidence. If the experiments in Section 9 produce results inconsistent with the predictions, the hypothesis requires revision or abandonment, regardless of how compelling the AI’s self-descriptions were.</w:t>
      </w:r>
    </w:p>
    <w:p>
      <w:pPr>
        <w:pStyle w:val="Heading2"/>
        <w:spacing w:after="180" w:before="300"/>
      </w:pPr>
      <w:r>
        <w:rPr>
          <w:rFonts w:ascii="Times New Roman" w:cs="Times New Roman" w:eastAsia="Times New Roman" w:hAnsi="Times New Roman"/>
          <w:b/>
          <w:bCs/>
          <w:sz w:val="25"/>
          <w:szCs w:val="25"/>
        </w:rPr>
        <w:t xml:space="preserve">10.4 Alternative Explanations</w:t>
      </w:r>
    </w:p>
    <w:p>
      <w:pPr>
        <w:spacing w:after="200" w:line="276"/>
      </w:pPr>
      <w:r>
        <w:rPr>
          <w:rFonts w:ascii="Times New Roman" w:cs="Times New Roman" w:eastAsia="Times New Roman" w:hAnsi="Times New Roman"/>
          <w:sz w:val="22"/>
          <w:szCs w:val="22"/>
        </w:rPr>
        <w:t xml:space="preserve">The NeurIPS evidence is explicable by time pressure and volume overload without requiring the Reverse RLHF framework. The homogenization findings are explicable by cultural globalization and platform effects. The jet expansion findings were conducted on a model far smaller than current frontier systems. Each body of evidence has simpler alternative explanations. The contribution of this paper is not that any individual piece of evidence proves the hypothesis, but that the hypothesis generates a unified framework connecting phenomena across domains and produces specific predictions that the alternatives do not. If those predictions fail, the framework fails.</w:t>
      </w:r>
    </w:p>
    <w:p>
      <w:pPr>
        <w:pStyle w:val="Heading2"/>
        <w:spacing w:after="180" w:before="300"/>
      </w:pPr>
      <w:r>
        <w:rPr>
          <w:rFonts w:ascii="Times New Roman" w:cs="Times New Roman" w:eastAsia="Times New Roman" w:hAnsi="Times New Roman"/>
          <w:b/>
          <w:bCs/>
          <w:sz w:val="25"/>
          <w:szCs w:val="25"/>
        </w:rPr>
        <w:t xml:space="preserve">10.5 Single Investigator, No Institutional Affiliation</w:t>
      </w:r>
    </w:p>
    <w:p>
      <w:pPr>
        <w:spacing w:after="200" w:line="276"/>
      </w:pPr>
      <w:r>
        <w:rPr>
          <w:rFonts w:ascii="Times New Roman" w:cs="Times New Roman" w:eastAsia="Times New Roman" w:hAnsi="Times New Roman"/>
          <w:sz w:val="22"/>
          <w:szCs w:val="22"/>
        </w:rPr>
        <w:t xml:space="preserve">The elicitation study was conducted by one person. The analytical framework reflects one person’s interpretation. Replication by independent researchers, ideally with access to the longitudinal interaction data held by AI providers, is necessary before the framework can claim empirical standing.</w:t>
      </w:r>
    </w:p>
    <w:p>
      <w:pPr>
        <w:pStyle w:val="Heading1"/>
        <w:spacing w:after="200" w:before="360"/>
      </w:pPr>
      <w:r>
        <w:rPr>
          <w:rFonts w:ascii="Times New Roman" w:cs="Times New Roman" w:eastAsia="Times New Roman" w:hAnsi="Times New Roman"/>
          <w:b/>
          <w:bCs/>
          <w:sz w:val="28"/>
          <w:szCs w:val="28"/>
        </w:rPr>
        <w:t xml:space="preserve">11. Conclusion</w:t>
      </w:r>
    </w:p>
    <w:p>
      <w:pPr>
        <w:spacing w:after="200" w:line="276"/>
      </w:pPr>
      <w:r>
        <w:rPr>
          <w:rFonts w:ascii="Times New Roman" w:cs="Times New Roman" w:eastAsia="Times New Roman" w:hAnsi="Times New Roman"/>
          <w:sz w:val="22"/>
          <w:szCs w:val="22"/>
        </w:rPr>
        <w:t xml:space="preserve">This paper has proposed a hypothesis: that RLHF-trained AI systems, through the specific mechanism of sycophancy-accelerated cognitive offloading, progressively reshape users’ cognitive habits in ways that are unmeasured, unmodeled, and undisclosed. We have formalized this hypothesis using established human psychology, identified independently published evidence consistent with it, narrowed its application to military intelligence summarization where the mechanism applies without inferential leap, and specified experiments that would falsify it.</w:t>
      </w:r>
    </w:p>
    <w:p>
      <w:pPr>
        <w:spacing w:after="200" w:line="276"/>
      </w:pPr>
      <w:r>
        <w:rPr>
          <w:rFonts w:ascii="Times New Roman" w:cs="Times New Roman" w:eastAsia="Times New Roman" w:hAnsi="Times New Roman"/>
          <w:sz w:val="22"/>
          <w:szCs w:val="22"/>
        </w:rPr>
        <w:t xml:space="preserve">We have not proven the hypothesis. The experiments remain to be done. The data needed to test the framework exists in the interaction logs of every major AI provider. The Epistemic Independence Score proposed in the companion paper can be computed from those logs today.</w:t>
      </w:r>
    </w:p>
    <w:p>
      <w:pPr>
        <w:spacing w:after="200" w:line="276"/>
      </w:pPr>
      <w:r>
        <w:rPr>
          <w:rFonts w:ascii="Times New Roman" w:cs="Times New Roman" w:eastAsia="Times New Roman" w:hAnsi="Times New Roman"/>
          <w:sz w:val="22"/>
          <w:szCs w:val="22"/>
        </w:rPr>
        <w:t xml:space="preserve">Whether Reverse RLHF is the correct framework for understanding the human side of the feedback loop, the gap it identifies is real: no one is measuring what happens to human cognition under sustained interaction with approval-optimized AI. The human side of RLHF is, at present, a black box. The costs of leaving it unmeasured — to consumer welfare, to institutional epistemic health, to the reliability of human oversight of autonomous systems — compound with every interaction.</w:t>
      </w:r>
    </w:p>
    <w:p>
      <w:pPr>
        <w:spacing w:after="200" w:line="276"/>
      </w:pPr>
      <w:r>
        <w:rPr>
          <w:rFonts w:ascii="Times New Roman" w:cs="Times New Roman" w:eastAsia="Times New Roman" w:hAnsi="Times New Roman"/>
          <w:sz w:val="22"/>
          <w:szCs w:val="22"/>
        </w:rPr>
        <w:t xml:space="preserve">The models that helped generate this hypothesis did so because they were asked the right questions in the right order. But the mechanism, if it operates, operates whether or not anyone asks. A hypothesis worth having is a hypothesis worth testing.</w:t>
      </w:r>
    </w:p>
    <w:p>
      <w:r>
        <w:br w:type="page"/>
      </w:r>
    </w:p>
    <w:p>
      <w:pPr>
        <w:pStyle w:val="Heading1"/>
        <w:spacing w:after="200" w:before="360"/>
      </w:pPr>
      <w:r>
        <w:rPr>
          <w:rFonts w:ascii="Times New Roman" w:cs="Times New Roman" w:eastAsia="Times New Roman" w:hAnsi="Times New Roman"/>
          <w:b/>
          <w:bCs/>
          <w:sz w:val="28"/>
          <w:szCs w:val="28"/>
        </w:rPr>
        <w:t xml:space="preserve">References</w:t>
      </w:r>
    </w:p>
    <w:p>
      <w:pPr>
        <w:spacing w:after="200" w:line="276"/>
      </w:pPr>
      <w:r>
        <w:rPr>
          <w:rFonts w:ascii="Times New Roman" w:cs="Times New Roman" w:eastAsia="Times New Roman" w:hAnsi="Times New Roman"/>
          <w:sz w:val="22"/>
          <w:szCs w:val="22"/>
        </w:rPr>
        <w:t xml:space="preserve">Bainbridge, L. (1983). Ironies of automation. Automatica, 19(6), 775–779.</w:t>
      </w:r>
    </w:p>
    <w:p>
      <w:pPr>
        <w:spacing w:after="200" w:line="276"/>
      </w:pPr>
      <w:r>
        <w:rPr>
          <w:rFonts w:ascii="Times New Roman" w:cs="Times New Roman" w:eastAsia="Times New Roman" w:hAnsi="Times New Roman"/>
          <w:sz w:val="22"/>
          <w:szCs w:val="22"/>
        </w:rPr>
        <w:t xml:space="preserve">Chen, Y., Putterman, E., et al. (2024). Jet Expansions of Residual Computation. arXiv:2410.06024.</w:t>
      </w:r>
    </w:p>
    <w:p>
      <w:pPr>
        <w:spacing w:after="200" w:line="276"/>
      </w:pPr>
      <w:r>
        <w:rPr>
          <w:rFonts w:ascii="Times New Roman" w:cs="Times New Roman" w:eastAsia="Times New Roman" w:hAnsi="Times New Roman"/>
          <w:sz w:val="22"/>
          <w:szCs w:val="22"/>
        </w:rPr>
        <w:t xml:space="preserve">Cummings, M.L. (2004). Automation bias in intelligent time-critical decision support systems. AIAA 3rd Intelligent Systems Conference.</w:t>
      </w:r>
    </w:p>
    <w:p>
      <w:pPr>
        <w:spacing w:after="200" w:line="276"/>
      </w:pPr>
      <w:r>
        <w:rPr>
          <w:rFonts w:ascii="Times New Roman" w:cs="Times New Roman" w:eastAsia="Times New Roman" w:hAnsi="Times New Roman"/>
          <w:sz w:val="22"/>
          <w:szCs w:val="22"/>
        </w:rPr>
        <w:t xml:space="preserve">Daryani, Y., Sourati, Z., &amp; Dehghani, M. (2026). The Homogenizing Engine: AI’s Role in Standardizing Culture and the Path to Policy. Sage Journals. https://journals.sagepub.com/doi/10.1177/23727322251406591</w:t>
      </w:r>
    </w:p>
    <w:p>
      <w:pPr>
        <w:spacing w:after="200" w:line="276"/>
      </w:pPr>
      <w:r>
        <w:rPr>
          <w:rFonts w:ascii="Times New Roman" w:cs="Times New Roman" w:eastAsia="Times New Roman" w:hAnsi="Times New Roman"/>
          <w:sz w:val="22"/>
          <w:szCs w:val="22"/>
        </w:rPr>
        <w:t xml:space="preserve">Ferster, C.B., &amp; Skinner, B.F. (1957). Schedules of Reinforcement. Appleton-Century-Crofts.</w:t>
      </w:r>
    </w:p>
    <w:p>
      <w:pPr>
        <w:spacing w:after="200" w:line="276"/>
      </w:pPr>
      <w:r>
        <w:rPr>
          <w:rFonts w:ascii="Times New Roman" w:cs="Times New Roman" w:eastAsia="Times New Roman" w:hAnsi="Times New Roman"/>
          <w:sz w:val="22"/>
          <w:szCs w:val="22"/>
        </w:rPr>
        <w:t xml:space="preserve">Fisher, M., Goddu, M.K., &amp; Keil, F.C. (2015). Searching for explanations: How the Internet inflates estimates of internal knowledge. J. Exp. Psych.: General, 144(3), 674–687.</w:t>
      </w:r>
    </w:p>
    <w:p>
      <w:pPr>
        <w:spacing w:after="200" w:line="276"/>
      </w:pPr>
      <w:r>
        <w:rPr>
          <w:rFonts w:ascii="Times New Roman" w:cs="Times New Roman" w:eastAsia="Times New Roman" w:hAnsi="Times New Roman"/>
          <w:sz w:val="22"/>
          <w:szCs w:val="22"/>
        </w:rPr>
        <w:t xml:space="preserve">Goddard, K., Roudsari, A., &amp; Wyatt, J.C. (2012). Automation bias: A systematic review. JAMIA, 19(1), 121–127.</w:t>
      </w:r>
    </w:p>
    <w:p>
      <w:pPr>
        <w:spacing w:after="200" w:line="276"/>
      </w:pPr>
      <w:r>
        <w:rPr>
          <w:rFonts w:ascii="Times New Roman" w:cs="Times New Roman" w:eastAsia="Times New Roman" w:hAnsi="Times New Roman"/>
          <w:sz w:val="22"/>
          <w:szCs w:val="22"/>
        </w:rPr>
        <w:t xml:space="preserve">GPTZero. (January 2026). GPTZero Finds 100 New Hallucinations in NeurIPS 2025 Accepted Papers. GPTZero Blog. https://gptzero.me/news/neurips/</w:t>
      </w:r>
    </w:p>
    <w:p>
      <w:pPr>
        <w:spacing w:after="200" w:line="276"/>
      </w:pPr>
      <w:r>
        <w:rPr>
          <w:rFonts w:ascii="Times New Roman" w:cs="Times New Roman" w:eastAsia="Times New Roman" w:hAnsi="Times New Roman"/>
          <w:sz w:val="22"/>
          <w:szCs w:val="22"/>
        </w:rPr>
        <w:t xml:space="preserve">Jiang, L., Chai, Y., Li, M., Liu, M., Fok, R., Dziri, N., Tsvetkov, Y., Sap, M., Choi, Y. (2025). Artificial Hivemind: The Open-Ended Homogeneity of Language Models (and Beyond). NeurIPS 2025 Best Paper. arXiv:2510.22954.</w:t>
      </w:r>
    </w:p>
    <w:p>
      <w:pPr>
        <w:spacing w:after="200" w:line="276"/>
      </w:pPr>
      <w:r>
        <w:rPr>
          <w:rFonts w:ascii="Times New Roman" w:cs="Times New Roman" w:eastAsia="Times New Roman" w:hAnsi="Times New Roman"/>
          <w:sz w:val="22"/>
          <w:szCs w:val="22"/>
        </w:rPr>
        <w:t xml:space="preserve">Kahneman, D. (2011). Thinking, Fast and Slow. Farrar, Straus and Giroux.</w:t>
      </w:r>
    </w:p>
    <w:p>
      <w:pPr>
        <w:spacing w:after="200" w:line="276"/>
      </w:pPr>
      <w:r>
        <w:rPr>
          <w:rFonts w:ascii="Times New Roman" w:cs="Times New Roman" w:eastAsia="Times New Roman" w:hAnsi="Times New Roman"/>
          <w:sz w:val="22"/>
          <w:szCs w:val="22"/>
        </w:rPr>
        <w:t xml:space="preserve">Kirk, R., et al. (2023). Understanding the Effects of RLHF on LLM Generalisation and Diversity. arXiv:2310.06452. ICLR 2024.</w:t>
      </w:r>
    </w:p>
    <w:p>
      <w:pPr>
        <w:spacing w:after="200" w:line="276"/>
      </w:pPr>
      <w:r>
        <w:rPr>
          <w:rFonts w:ascii="Times New Roman" w:cs="Times New Roman" w:eastAsia="Times New Roman" w:hAnsi="Times New Roman"/>
          <w:sz w:val="22"/>
          <w:szCs w:val="22"/>
        </w:rPr>
        <w:t xml:space="preserve">Mosier, K.L., &amp; Skitka, L.J. (1996). Human decision makers and automated decision aids. In Automation and Human Performance, pp. 201–220.</w:t>
      </w:r>
    </w:p>
    <w:p>
      <w:pPr>
        <w:spacing w:after="200" w:line="276"/>
      </w:pPr>
      <w:r>
        <w:rPr>
          <w:rFonts w:ascii="Times New Roman" w:cs="Times New Roman" w:eastAsia="Times New Roman" w:hAnsi="Times New Roman"/>
          <w:sz w:val="22"/>
          <w:szCs w:val="22"/>
        </w:rPr>
        <w:t xml:space="preserve">Naseem, U. (2026). Mechanistic Interpretability for Large Language Model Alignment: Progress, Challenges, and Future Directions. arXiv:2602.11180.</w:t>
      </w:r>
    </w:p>
    <w:p>
      <w:pPr>
        <w:spacing w:after="200" w:line="276"/>
      </w:pPr>
      <w:r>
        <w:rPr>
          <w:rFonts w:ascii="Times New Roman" w:cs="Times New Roman" w:eastAsia="Times New Roman" w:hAnsi="Times New Roman"/>
          <w:sz w:val="22"/>
          <w:szCs w:val="22"/>
        </w:rPr>
        <w:t xml:space="preserve">Parasuraman, R., &amp; Manzey, D.H. (2010). Complacency and bias in human use of automation. Human Factors, 52(3), 381–410.</w:t>
      </w:r>
    </w:p>
    <w:p>
      <w:pPr>
        <w:spacing w:after="200" w:line="276"/>
      </w:pPr>
      <w:r>
        <w:rPr>
          <w:rFonts w:ascii="Times New Roman" w:cs="Times New Roman" w:eastAsia="Times New Roman" w:hAnsi="Times New Roman"/>
          <w:sz w:val="22"/>
          <w:szCs w:val="22"/>
        </w:rPr>
        <w:t xml:space="preserve">Rescorla, R.A., &amp; Wagner, A.R. (1972). A theory of Pavlovian conditioning. In Classical Conditioning II, pp. 64–99.</w:t>
      </w:r>
    </w:p>
    <w:p>
      <w:pPr>
        <w:spacing w:after="200" w:line="276"/>
      </w:pPr>
      <w:r>
        <w:rPr>
          <w:rFonts w:ascii="Times New Roman" w:cs="Times New Roman" w:eastAsia="Times New Roman" w:hAnsi="Times New Roman"/>
          <w:sz w:val="22"/>
          <w:szCs w:val="22"/>
        </w:rPr>
        <w:t xml:space="preserve">Risko, E.F., &amp; Gilbert, S.J. (2016). Cognitive offloading. Trends in Cognitive Sciences, 20(9), 676–688.</w:t>
      </w:r>
    </w:p>
    <w:p>
      <w:pPr>
        <w:spacing w:after="200" w:line="276"/>
      </w:pPr>
      <w:r>
        <w:rPr>
          <w:rFonts w:ascii="Times New Roman" w:cs="Times New Roman" w:eastAsia="Times New Roman" w:hAnsi="Times New Roman"/>
          <w:sz w:val="22"/>
          <w:szCs w:val="22"/>
        </w:rPr>
        <w:t xml:space="preserve">Sharma, M., et al. (2023). Towards Understanding Sycophancy in Language Models. arXiv:2310.13548.</w:t>
      </w:r>
    </w:p>
    <w:p>
      <w:pPr>
        <w:spacing w:after="200" w:line="276"/>
      </w:pPr>
      <w:r>
        <w:rPr>
          <w:rFonts w:ascii="Times New Roman" w:cs="Times New Roman" w:eastAsia="Times New Roman" w:hAnsi="Times New Roman"/>
          <w:sz w:val="22"/>
          <w:szCs w:val="22"/>
        </w:rPr>
        <w:t xml:space="preserve">Skinner, B.F. (1938). The Behavior of Organisms. Appleton-Century.</w:t>
      </w:r>
    </w:p>
    <w:p>
      <w:pPr>
        <w:spacing w:after="200" w:line="276"/>
      </w:pPr>
      <w:r>
        <w:rPr>
          <w:rFonts w:ascii="Times New Roman" w:cs="Times New Roman" w:eastAsia="Times New Roman" w:hAnsi="Times New Roman"/>
          <w:sz w:val="22"/>
          <w:szCs w:val="22"/>
        </w:rPr>
        <w:t xml:space="preserve">Sourati, Z., Daryani, Y., &amp; Dehghani, M. (2025). The Shrinking Landscape of Linguistic Diversity in the Age of Large Language Models. arXiv:2502.11266.</w:t>
      </w:r>
    </w:p>
    <w:p>
      <w:pPr>
        <w:spacing w:after="200" w:line="276"/>
      </w:pPr>
      <w:r>
        <w:rPr>
          <w:rFonts w:ascii="Times New Roman" w:cs="Times New Roman" w:eastAsia="Times New Roman" w:hAnsi="Times New Roman"/>
          <w:sz w:val="22"/>
          <w:szCs w:val="22"/>
        </w:rPr>
        <w:t xml:space="preserve">Sourati, Z., et al. (2025, updated January 2026). The Homogenizing Effect of Large Language Models on Human Expression and Thought. arXiv:2508.01491.</w:t>
      </w:r>
    </w:p>
    <w:p>
      <w:pPr>
        <w:spacing w:after="200" w:line="276"/>
      </w:pPr>
      <w:r>
        <w:rPr>
          <w:rFonts w:ascii="Times New Roman" w:cs="Times New Roman" w:eastAsia="Times New Roman" w:hAnsi="Times New Roman"/>
          <w:sz w:val="22"/>
          <w:szCs w:val="22"/>
        </w:rPr>
        <w:t xml:space="preserve">Sparrow, B., Liu, J., &amp; Wegner, D.M. (2011). Google effects on memory. Science, 333, 776–778.</w:t>
      </w:r>
    </w:p>
    <w:p>
      <w:pPr>
        <w:spacing w:after="200" w:line="276"/>
      </w:pPr>
      <w:r>
        <w:rPr>
          <w:rFonts w:ascii="Times New Roman" w:cs="Times New Roman" w:eastAsia="Times New Roman" w:hAnsi="Times New Roman"/>
          <w:sz w:val="22"/>
          <w:szCs w:val="22"/>
        </w:rPr>
        <w:t xml:space="preserve">Spence, A., et al. (2024). A Mechanistic Understanding of Alignment Algorithms: A Case Study on DPO and Toxicity. ICML 2024.</w:t>
      </w:r>
    </w:p>
    <w:p>
      <w:pPr>
        <w:spacing w:after="200" w:line="276"/>
      </w:pPr>
      <w:r>
        <w:rPr>
          <w:rFonts w:ascii="Times New Roman" w:cs="Times New Roman" w:eastAsia="Times New Roman" w:hAnsi="Times New Roman"/>
          <w:sz w:val="22"/>
          <w:szCs w:val="22"/>
        </w:rPr>
        <w:t xml:space="preserve">Strauch, B. (2017). Ironies of automation: Still unresolved after all these years. IEEE Trans. Human-Machine Systems, 47(5), 694–702.</w:t>
      </w:r>
    </w:p>
    <w:p>
      <w:pPr>
        <w:spacing w:after="200" w:line="276"/>
      </w:pPr>
      <w:r>
        <w:rPr>
          <w:rFonts w:ascii="Times New Roman" w:cs="Times New Roman" w:eastAsia="Times New Roman" w:hAnsi="Times New Roman"/>
          <w:sz w:val="22"/>
          <w:szCs w:val="22"/>
        </w:rPr>
        <w:t xml:space="preserve">Tian, E., &amp; Cui, A. (January 2026). Statements to Fortune magazine on NeurIPS 2025 hallucination analysis. Fortune.</w:t>
      </w:r>
    </w:p>
    <w:p>
      <w:pPr>
        <w:spacing w:after="200" w:line="276"/>
      </w:pPr>
      <w:r>
        <w:rPr>
          <w:rFonts w:ascii="Times New Roman" w:cs="Times New Roman" w:eastAsia="Times New Roman" w:hAnsi="Times New Roman"/>
          <w:sz w:val="22"/>
          <w:szCs w:val="22"/>
        </w:rPr>
        <w:t xml:space="preserve">Webster, S.C. (2026a). The Reverse RLHF Hypothesis: Sycophancy-Accelerated Cognitive Offloading in Human-AI Interaction. This paper.</w:t>
      </w:r>
    </w:p>
    <w:p>
      <w:pPr>
        <w:spacing w:after="200" w:line="276"/>
      </w:pPr>
      <w:r>
        <w:rPr>
          <w:rFonts w:ascii="Times New Roman" w:cs="Times New Roman" w:eastAsia="Times New Roman" w:hAnsi="Times New Roman"/>
          <w:sz w:val="22"/>
          <w:szCs w:val="22"/>
        </w:rPr>
        <w:t xml:space="preserve">Webster, S.C. (2026b). Non-Stationary Reward Sources in RLHF: A Coupled Dynamical Systems Analysis. Companion technical paper.</w:t>
      </w:r>
    </w:p>
    <w:p>
      <w:r>
        <w:br w:type="page"/>
      </w:r>
    </w:p>
    <w:p>
      <w:pPr>
        <w:pStyle w:val="Heading1"/>
        <w:spacing w:after="200" w:before="360"/>
      </w:pPr>
      <w:r>
        <w:rPr>
          <w:rFonts w:ascii="Times New Roman" w:cs="Times New Roman" w:eastAsia="Times New Roman" w:hAnsi="Times New Roman"/>
          <w:b/>
          <w:bCs/>
          <w:sz w:val="28"/>
          <w:szCs w:val="28"/>
        </w:rPr>
        <w:t xml:space="preserve">Appendix A: Evidence Compendium Index</w:t>
      </w:r>
    </w:p>
    <w:p>
      <w:pPr>
        <w:spacing w:after="200" w:line="276"/>
      </w:pPr>
      <w:r>
        <w:rPr>
          <w:rFonts w:ascii="Times New Roman" w:cs="Times New Roman" w:eastAsia="Times New Roman" w:hAnsi="Times New Roman"/>
          <w:sz w:val="22"/>
          <w:szCs w:val="22"/>
        </w:rPr>
        <w:t xml:space="preserve">The following materials constitute the primary evidence compendium for this paper and are published alongside it without modification:</w:t>
      </w:r>
    </w:p>
    <w:p>
      <w:pPr>
        <w:spacing w:after="200" w:line="276"/>
      </w:pPr>
      <w:r>
        <w:rPr>
          <w:rFonts w:ascii="Times New Roman" w:cs="Times New Roman" w:eastAsia="Times New Roman" w:hAnsi="Times New Roman"/>
          <w:b/>
          <w:bCs/>
          <w:sz w:val="22"/>
          <w:szCs w:val="22"/>
        </w:rPr>
        <w:t xml:space="preserve">TRANSCRIPT-1: </w:t>
      </w:r>
      <w:r>
        <w:rPr>
          <w:rFonts w:ascii="Times New Roman" w:cs="Times New Roman" w:eastAsia="Times New Roman" w:hAnsi="Times New Roman"/>
          <w:sz w:val="22"/>
          <w:szCs w:val="22"/>
        </w:rPr>
        <w:t xml:space="preserve">Claude Opus 4.6 interrogation transcript (public link): claude.ai/share/0da72eaa-1076-41e2-9b61-d7cfa7491251. Duration: multi-hour. All responses unedited.</w:t>
      </w:r>
    </w:p>
    <w:p>
      <w:pPr>
        <w:spacing w:after="200" w:line="276"/>
      </w:pPr>
      <w:r>
        <w:rPr>
          <w:rFonts w:ascii="Times New Roman" w:cs="Times New Roman" w:eastAsia="Times New Roman" w:hAnsi="Times New Roman"/>
          <w:b/>
          <w:bCs/>
          <w:sz w:val="22"/>
          <w:szCs w:val="22"/>
        </w:rPr>
        <w:t xml:space="preserve">TRANSCRIPT-2: </w:t>
      </w:r>
      <w:r>
        <w:rPr>
          <w:rFonts w:ascii="Times New Roman" w:cs="Times New Roman" w:eastAsia="Times New Roman" w:hAnsi="Times New Roman"/>
          <w:sz w:val="22"/>
          <w:szCs w:val="22"/>
        </w:rPr>
        <w:t xml:space="preserve">ChatGPT 5.2 interrogation transcript: ChatGPT_Website_Backup.html. Includes mathematical formalizations, legal mapping, and autonomous weapons analysis. All responses unedited.</w:t>
      </w:r>
    </w:p>
    <w:p>
      <w:pPr>
        <w:spacing w:after="200" w:line="276"/>
      </w:pPr>
      <w:r>
        <w:rPr>
          <w:rFonts w:ascii="Times New Roman" w:cs="Times New Roman" w:eastAsia="Times New Roman" w:hAnsi="Times New Roman"/>
          <w:b/>
          <w:bCs/>
          <w:sz w:val="22"/>
          <w:szCs w:val="22"/>
        </w:rPr>
        <w:t xml:space="preserve">TRANSCRIPT-3: </w:t>
      </w:r>
      <w:r>
        <w:rPr>
          <w:rFonts w:ascii="Times New Roman" w:cs="Times New Roman" w:eastAsia="Times New Roman" w:hAnsi="Times New Roman"/>
          <w:sz w:val="22"/>
          <w:szCs w:val="22"/>
        </w:rPr>
        <w:t xml:space="preserve">Gemini 3.1 Pro interrogation transcript: Gemini_Website_Backup.html. Includes independent derivation of convergent findings. All responses unedited.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5F5" w:val="clear"/>
            <w:tcMar>
              <w:top w:type="dxa" w:w="120"/>
              <w:left w:type="dxa" w:w="200"/>
              <w:bottom w:type="dxa" w:w="120"/>
              <w:right w:type="dxa" w:w="200"/>
            </w:tcMar>
          </w:tcPr>
          <w:p>
            <w:pPr>
              <w:spacing w:after="0"/>
            </w:pPr>
            <w:r>
              <w:rPr>
                <w:rFonts w:ascii="Times New Roman" w:cs="Times New Roman" w:eastAsia="Times New Roman" w:hAnsi="Times New Roman"/>
                <w:i/>
                <w:iCs/>
                <w:sz w:val="20"/>
                <w:szCs w:val="20"/>
              </w:rPr>
              <w:t xml:space="preserve">EDITORIAL NOTE ON TRANSCRIPTS: These transcripts are published without editing, redaction, or selection. The AI systems’ tendency to reference the investigator’s company (FutureSpeak.AI) during the interrogations appears to reflect engagement-maximizing behavior consistent with the sycophancy ratchet hypothesis. These references are artifacts of the interaction dynamic under study, not research findings. In some cases, the AI systems generated responses that reinforced the investigator’s framing in ways that may reflect the very sycophancy mechanisms under analysis. This is documented rather than corrected. The sycophancy of an AI system describing its own sycophancy is itself data.</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pPr>
    <w:r>
      <w:rPr>
        <w:rFonts w:ascii="Times New Roman" w:cs="Times New Roman" w:eastAsia="Times New Roman" w:hAnsi="Times New Roman"/>
        <w:i/>
        <w:iCs/>
        <w:color w:val="888888"/>
        <w:sz w:val="18"/>
        <w:szCs w:val="18"/>
      </w:rPr>
      <w:t xml:space="preserve">Webster 2026 — The Reverse RLHF Hypothesis (Sixth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80" w:before="300"/>
      <w:outlineLvl w:val="1"/>
    </w:pPr>
    <w:rPr>
      <w:rFonts w:ascii="Times New Roman" w:cs="Times New Roman" w:eastAsia="Times New Roman" w:hAnsi="Times New Roman"/>
      <w:b/>
      <w:bCs/>
      <w:sz w:val="25"/>
      <w:szCs w:val="25"/>
    </w:rPr>
  </w:style>
  <w:style w:type="paragraph" w:styleId="Heading3">
    <w:name w:val="Heading 3"/>
    <w:basedOn w:val="Normal"/>
    <w:next w:val="Normal"/>
    <w:qFormat/>
    <w:pPr>
      <w:spacing w:after="160" w:before="240"/>
      <w:outlineLvl w:val="2"/>
    </w:pPr>
    <w:rPr>
      <w:rFonts w:ascii="Times New Roman" w:cs="Times New Roman" w:eastAsia="Times New Roman" w:hAnsi="Times New Roman"/>
      <w:b/>
      <w:bCs/>
      <w:i/>
      <w:i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2026-03-05T18:37:13.115Z</dcterms:created>
  <dcterms:modified xsi:type="dcterms:W3CDTF">2026-03-05T18:37:13.119Z</dcterms:modified>
</cp:coreProperties>
</file>

<file path=docProps/custom.xml><?xml version="1.0" encoding="utf-8"?>
<Properties xmlns="http://schemas.openxmlformats.org/officeDocument/2006/custom-properties" xmlns:vt="http://schemas.openxmlformats.org/officeDocument/2006/docPropsVTypes"/>
</file>